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keepNext w:val="0"/>
        <w:keepLines w:val="0"/>
        <w:pageBreakBefore w:val="0"/>
        <w:kinsoku/>
        <w:wordWrap/>
        <w:autoSpaceDE/>
        <w:autoSpaceDN/>
        <w:bidi w:val="0"/>
        <w:adjustRightInd w:val="0"/>
        <w:snapToGrid w:val="0"/>
        <w:spacing w:line="594" w:lineRule="exact"/>
        <w:ind w:firstLine="0" w:firstLineChars="0"/>
        <w:jc w:val="center"/>
        <w:textAlignment w:val="auto"/>
        <w:rPr>
          <w:rFonts w:hint="eastAsia" w:ascii="Times New Roman" w:hAnsi="Times New Roman" w:eastAsia="方正小标宋简体" w:cs="方正小标宋简体"/>
          <w:b w:val="0"/>
          <w:bCs w:val="0"/>
          <w:color w:val="000000" w:themeColor="text1"/>
          <w:sz w:val="44"/>
          <w:szCs w:val="44"/>
          <w:lang w:val="en-US" w:eastAsia="zh-CN"/>
          <w14:textFill>
            <w14:solidFill>
              <w14:schemeClr w14:val="tx1"/>
            </w14:solidFill>
          </w14:textFill>
        </w:rPr>
      </w:pPr>
    </w:p>
    <w:p>
      <w:pPr>
        <w:pStyle w:val="8"/>
        <w:keepNext w:val="0"/>
        <w:keepLines w:val="0"/>
        <w:pageBreakBefore w:val="0"/>
        <w:kinsoku/>
        <w:wordWrap/>
        <w:autoSpaceDE/>
        <w:autoSpaceDN/>
        <w:bidi w:val="0"/>
        <w:adjustRightInd w:val="0"/>
        <w:snapToGrid w:val="0"/>
        <w:spacing w:line="594" w:lineRule="exact"/>
        <w:ind w:firstLine="0" w:firstLineChars="0"/>
        <w:jc w:val="center"/>
        <w:textAlignment w:val="auto"/>
        <w:rPr>
          <w:rFonts w:hint="eastAsia" w:ascii="Times New Roman" w:hAnsi="Times New Roman"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Times New Roman" w:hAnsi="Times New Roman" w:eastAsia="方正小标宋简体" w:cs="方正小标宋简体"/>
          <w:b w:val="0"/>
          <w:bCs w:val="0"/>
          <w:color w:val="000000" w:themeColor="text1"/>
          <w:sz w:val="44"/>
          <w:szCs w:val="44"/>
          <w:lang w:val="en-US" w:eastAsia="zh-CN"/>
          <w14:textFill>
            <w14:solidFill>
              <w14:schemeClr w14:val="tx1"/>
            </w14:solidFill>
          </w14:textFill>
        </w:rPr>
        <w:t>关于《垄断协议个人责任适用指引</w:t>
      </w:r>
    </w:p>
    <w:p>
      <w:pPr>
        <w:pStyle w:val="8"/>
        <w:keepNext w:val="0"/>
        <w:keepLines w:val="0"/>
        <w:pageBreakBefore w:val="0"/>
        <w:kinsoku/>
        <w:wordWrap/>
        <w:autoSpaceDE/>
        <w:autoSpaceDN/>
        <w:bidi w:val="0"/>
        <w:adjustRightInd w:val="0"/>
        <w:snapToGrid w:val="0"/>
        <w:spacing w:line="594" w:lineRule="exact"/>
        <w:ind w:firstLine="0" w:firstLineChars="0"/>
        <w:jc w:val="center"/>
        <w:textAlignment w:val="auto"/>
        <w:rPr>
          <w:rFonts w:hint="eastAsia" w:ascii="Times New Roman" w:hAnsi="Times New Roman" w:eastAsia="方正小标宋简体" w:cs="方正小标宋简体"/>
          <w:b w:val="0"/>
          <w:bCs w:val="0"/>
          <w:color w:val="000000" w:themeColor="text1"/>
          <w:sz w:val="44"/>
          <w:szCs w:val="44"/>
          <w:lang w:val="en-US" w:eastAsia="zh-CN"/>
          <w14:textFill>
            <w14:solidFill>
              <w14:schemeClr w14:val="tx1"/>
            </w14:solidFill>
          </w14:textFill>
        </w:rPr>
      </w:pPr>
      <w:r>
        <w:rPr>
          <w:rFonts w:hint="eastAsia" w:ascii="Times New Roman" w:hAnsi="Times New Roman" w:eastAsia="方正小标宋简体" w:cs="方正小标宋简体"/>
          <w:b w:val="0"/>
          <w:bCs w:val="0"/>
          <w:color w:val="000000" w:themeColor="text1"/>
          <w:sz w:val="44"/>
          <w:szCs w:val="44"/>
          <w:lang w:val="en" w:eastAsia="zh-CN"/>
          <w14:textFill>
            <w14:solidFill>
              <w14:schemeClr w14:val="tx1"/>
            </w14:solidFill>
          </w14:textFill>
        </w:rPr>
        <w:t>(征求意见稿)</w:t>
      </w:r>
      <w:r>
        <w:rPr>
          <w:rFonts w:hint="eastAsia" w:ascii="Times New Roman" w:hAnsi="Times New Roman" w:eastAsia="方正小标宋简体" w:cs="方正小标宋简体"/>
          <w:b w:val="0"/>
          <w:bCs w:val="0"/>
          <w:color w:val="000000" w:themeColor="text1"/>
          <w:sz w:val="44"/>
          <w:szCs w:val="44"/>
          <w:lang w:val="en-US" w:eastAsia="zh-CN"/>
          <w14:textFill>
            <w14:solidFill>
              <w14:schemeClr w14:val="tx1"/>
            </w14:solidFill>
          </w14:textFill>
        </w:rPr>
        <w:t>》的起草说明</w:t>
      </w:r>
    </w:p>
    <w:p>
      <w:pPr>
        <w:keepNext w:val="0"/>
        <w:keepLines w:val="0"/>
        <w:pageBreakBefore w:val="0"/>
        <w:kinsoku/>
        <w:wordWrap/>
        <w:overflowPunct/>
        <w:topLinePunct w:val="0"/>
        <w:autoSpaceDE/>
        <w:autoSpaceDN/>
        <w:bidi w:val="0"/>
        <w:adjustRightInd w:val="0"/>
        <w:snapToGrid w:val="0"/>
        <w:spacing w:line="594" w:lineRule="exact"/>
        <w:ind w:firstLine="640" w:firstLineChars="200"/>
        <w:jc w:val="center"/>
        <w:textAlignment w:val="auto"/>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pPr>
    </w:p>
    <w:p>
      <w:pPr>
        <w:keepNext w:val="0"/>
        <w:keepLines w:val="0"/>
        <w:pageBreakBefore w:val="0"/>
        <w:kinsoku/>
        <w:wordWrap/>
        <w:overflowPunct/>
        <w:topLinePunct w:val="0"/>
        <w:autoSpaceDE/>
        <w:autoSpaceDN/>
        <w:bidi w:val="0"/>
        <w:adjustRightInd w:val="0"/>
        <w:snapToGrid w:val="0"/>
        <w:spacing w:line="594" w:lineRule="exact"/>
        <w:ind w:firstLine="640" w:firstLineChars="200"/>
        <w:jc w:val="both"/>
        <w:textAlignment w:val="auto"/>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pP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为贯彻落实《中华人民共和国反垄断法</w:t>
      </w:r>
      <w:r>
        <w:rPr>
          <w:rFonts w:hint="default"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val="en-US" w:eastAsia="zh-CN"/>
        </w:rPr>
        <w:t>（以下简称《反垄断法》）</w:t>
      </w:r>
      <w:r>
        <w:rPr>
          <w:rFonts w:hint="eastAsia" w:ascii="Times New Roman" w:hAnsi="Times New Roman" w:eastAsia="仿宋_GB2312" w:cs="Times New Roman"/>
          <w:color w:val="000000" w:themeColor="text1"/>
          <w:sz w:val="32"/>
          <w:szCs w:val="24"/>
          <w:lang w:val="en-US" w:eastAsia="zh-CN" w:bidi="ar-SA"/>
          <w14:textFill>
            <w14:solidFill>
              <w14:schemeClr w14:val="tx1"/>
            </w14:solidFill>
          </w14:textFill>
        </w:rPr>
        <w:t>第五十六条</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要求，</w:t>
      </w:r>
      <w:r>
        <w:rPr>
          <w:rFonts w:hint="eastAsia" w:ascii="Times New Roman" w:hAnsi="Times New Roman" w:eastAsia="仿宋_GB2312" w:cs="仿宋_GB2312"/>
          <w:sz w:val="32"/>
          <w:szCs w:val="32"/>
          <w:lang w:eastAsia="zh-CN"/>
        </w:rPr>
        <w:t>明确对达成垄断协议的</w:t>
      </w:r>
      <w:r>
        <w:rPr>
          <w:rFonts w:hint="eastAsia" w:ascii="Times New Roman" w:hAnsi="Times New Roman" w:eastAsia="仿宋_GB2312" w:cs="仿宋_GB2312"/>
          <w:color w:val="000000"/>
          <w:sz w:val="32"/>
          <w:szCs w:val="32"/>
          <w:highlight w:val="none"/>
          <w:lang w:eastAsia="zh-CN"/>
        </w:rPr>
        <w:t>经营者法定代表人、主要负责人和直接责任人员</w:t>
      </w:r>
      <w:r>
        <w:rPr>
          <w:rFonts w:hint="eastAsia" w:ascii="Times New Roman" w:hAnsi="Times New Roman" w:eastAsia="仿宋_GB2312" w:cs="仿宋_GB2312"/>
          <w:sz w:val="32"/>
          <w:szCs w:val="32"/>
          <w:lang w:eastAsia="zh-CN"/>
        </w:rPr>
        <w:t>的追责范围、追责情形和裁量因素等</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w:t>
      </w:r>
      <w:r>
        <w:rPr>
          <w:rFonts w:hint="eastAsia" w:ascii="Times New Roman" w:hAnsi="Times New Roman" w:eastAsia="仿宋_GB2312" w:cs="Times New Roman"/>
          <w:spacing w:val="0"/>
          <w:kern w:val="2"/>
          <w:sz w:val="32"/>
          <w:szCs w:val="32"/>
          <w:lang w:val="en-US" w:eastAsia="zh-CN" w:bidi="ar-SA"/>
        </w:rPr>
        <w:t>提升反垄断穿透式监管水平</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，市场监管总局研究起草了《</w:t>
      </w:r>
      <w:r>
        <w:rPr>
          <w:rFonts w:hint="eastAsia" w:ascii="Times New Roman" w:hAnsi="Times New Roman" w:eastAsia="仿宋_GB2312" w:cs="仿宋_GB2312"/>
          <w:color w:val="000000" w:themeColor="text1"/>
          <w:sz w:val="32"/>
          <w:szCs w:val="32"/>
          <w14:textFill>
            <w14:solidFill>
              <w14:schemeClr w14:val="tx1"/>
            </w14:solidFill>
          </w14:textFill>
        </w:rPr>
        <w:t>垄断协议</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个人责任适用指引</w:t>
      </w:r>
      <w:bookmarkStart w:id="0" w:name="_GoBack"/>
      <w:bookmarkEnd w:id="0"/>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（征求意见稿）</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以下简称《指引》）。</w:t>
      </w:r>
      <w:r>
        <w:rPr>
          <w:rFonts w:hint="eastAsia" w:ascii="Times New Roman" w:hAnsi="Times New Roman" w:eastAsia="仿宋_GB2312" w:cs="Times New Roman"/>
          <w:color w:val="000000" w:themeColor="text1"/>
          <w:sz w:val="32"/>
          <w:szCs w:val="32"/>
          <w14:textFill>
            <w14:solidFill>
              <w14:schemeClr w14:val="tx1"/>
            </w14:solidFill>
          </w14:textFill>
        </w:rPr>
        <w:t>有关情况说明如下：</w:t>
      </w:r>
    </w:p>
    <w:p>
      <w:pPr>
        <w:keepNext w:val="0"/>
        <w:keepLines w:val="0"/>
        <w:pageBreakBefore w:val="0"/>
        <w:numPr>
          <w:ilvl w:val="0"/>
          <w:numId w:val="1"/>
        </w:numPr>
        <w:kinsoku/>
        <w:wordWrap/>
        <w:overflowPunct/>
        <w:topLinePunct w:val="0"/>
        <w:autoSpaceDE/>
        <w:autoSpaceDN/>
        <w:bidi w:val="0"/>
        <w:adjustRightInd w:val="0"/>
        <w:snapToGrid w:val="0"/>
        <w:spacing w:line="594" w:lineRule="exact"/>
        <w:ind w:firstLine="640" w:firstLineChars="200"/>
        <w:jc w:val="both"/>
        <w:textAlignment w:val="auto"/>
        <w:rPr>
          <w:rFonts w:hint="eastAsia" w:ascii="Times New Roman" w:hAnsi="Times New Roman" w:eastAsia="黑体" w:cs="黑体"/>
          <w:b w:val="0"/>
          <w:bCs w:val="0"/>
          <w:color w:val="000000" w:themeColor="text1"/>
          <w:sz w:val="32"/>
          <w:szCs w:val="32"/>
          <w:lang w:val="en-US" w:eastAsia="zh-CN"/>
          <w14:textFill>
            <w14:solidFill>
              <w14:schemeClr w14:val="tx1"/>
            </w14:solidFill>
          </w14:textFill>
        </w:rPr>
      </w:pPr>
      <w:r>
        <w:rPr>
          <w:rFonts w:hint="eastAsia" w:ascii="Times New Roman" w:hAnsi="Times New Roman" w:eastAsia="黑体" w:cs="黑体"/>
          <w:b w:val="0"/>
          <w:bCs w:val="0"/>
          <w:color w:val="000000" w:themeColor="text1"/>
          <w:sz w:val="32"/>
          <w:szCs w:val="32"/>
          <w:lang w:val="en-US" w:eastAsia="zh-CN"/>
          <w14:textFill>
            <w14:solidFill>
              <w14:schemeClr w14:val="tx1"/>
            </w14:solidFill>
          </w14:textFill>
        </w:rPr>
        <w:t>起草背景</w:t>
      </w:r>
    </w:p>
    <w:p>
      <w:pPr>
        <w:pStyle w:val="8"/>
        <w:keepNext w:val="0"/>
        <w:keepLines w:val="0"/>
        <w:pageBreakBefore w:val="0"/>
        <w:kinsoku/>
        <w:wordWrap/>
        <w:autoSpaceDE/>
        <w:autoSpaceDN/>
        <w:bidi w:val="0"/>
        <w:adjustRightInd w:val="0"/>
        <w:snapToGrid w:val="0"/>
        <w:spacing w:line="594" w:lineRule="exact"/>
        <w:ind w:firstLine="640" w:firstLineChars="200"/>
        <w:textAlignment w:val="auto"/>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pPr>
      <w:r>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t>经营者之间达成联合涨价、限产等垄断协议被世界各国公认为对市场竞争损害最严重的垄断行为，而其达成往往与经营者高管之间的合谋密切相关。部分管理人员</w:t>
      </w:r>
      <w:r>
        <w:rPr>
          <w:rFonts w:hint="eastAsia" w:ascii="Times New Roman" w:hAnsi="Times New Roman" w:eastAsia="仿宋_GB2312" w:cs="仿宋_GB2312"/>
          <w:b w:val="0"/>
          <w:bCs w:val="0"/>
          <w:color w:val="000000" w:themeColor="text1"/>
          <w:spacing w:val="0"/>
          <w:kern w:val="2"/>
          <w:sz w:val="32"/>
          <w:szCs w:val="32"/>
          <w:lang w:val="en-US" w:eastAsia="zh-CN" w:bidi="ar-SA"/>
          <w14:textFill>
            <w14:solidFill>
              <w14:schemeClr w14:val="tx1"/>
            </w14:solidFill>
          </w14:textFill>
        </w:rPr>
        <w:t>对反垄断合规重视不够，在进行商业决策时</w:t>
      </w:r>
      <w:r>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t>不能</w:t>
      </w:r>
      <w:r>
        <w:rPr>
          <w:rFonts w:hint="eastAsia" w:ascii="Times New Roman" w:hAnsi="Times New Roman" w:eastAsia="仿宋_GB2312" w:cs="仿宋_GB2312"/>
          <w:b w:val="0"/>
          <w:bCs w:val="0"/>
          <w:color w:val="000000" w:themeColor="text1"/>
          <w:spacing w:val="0"/>
          <w:kern w:val="2"/>
          <w:sz w:val="32"/>
          <w:szCs w:val="32"/>
          <w:lang w:val="en-US" w:eastAsia="zh-CN" w:bidi="ar-SA"/>
          <w14:textFill>
            <w14:solidFill>
              <w14:schemeClr w14:val="tx1"/>
            </w14:solidFill>
          </w14:textFill>
        </w:rPr>
        <w:t>充分考虑垄断风险，甚至</w:t>
      </w:r>
      <w:r>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t>主动达成</w:t>
      </w:r>
      <w:r>
        <w:rPr>
          <w:rFonts w:hint="eastAsia" w:ascii="Times New Roman" w:hAnsi="Times New Roman" w:eastAsia="仿宋_GB2312" w:cs="仿宋_GB2312"/>
          <w:b w:val="0"/>
          <w:bCs w:val="0"/>
          <w:color w:val="000000" w:themeColor="text1"/>
          <w:spacing w:val="0"/>
          <w:kern w:val="2"/>
          <w:sz w:val="32"/>
          <w:szCs w:val="32"/>
          <w:lang w:val="en-US" w:eastAsia="zh-CN" w:bidi="ar-SA"/>
          <w14:textFill>
            <w14:solidFill>
              <w14:schemeClr w14:val="tx1"/>
            </w14:solidFill>
          </w14:textFill>
        </w:rPr>
        <w:t>垄断</w:t>
      </w:r>
      <w:r>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t>协议。因此，美国、英国、澳大利亚等国家均规定了针对经营者高管的个人责任。</w:t>
      </w:r>
    </w:p>
    <w:p>
      <w:pPr>
        <w:pStyle w:val="8"/>
        <w:keepNext w:val="0"/>
        <w:keepLines w:val="0"/>
        <w:pageBreakBefore w:val="0"/>
        <w:numPr>
          <w:ilvl w:val="0"/>
          <w:numId w:val="0"/>
        </w:numPr>
        <w:kinsoku/>
        <w:wordWrap/>
        <w:autoSpaceDE/>
        <w:autoSpaceDN/>
        <w:bidi w:val="0"/>
        <w:adjustRightInd w:val="0"/>
        <w:snapToGrid w:val="0"/>
        <w:spacing w:line="594" w:lineRule="exact"/>
        <w:ind w:firstLine="640" w:firstLineChars="200"/>
        <w:textAlignment w:val="auto"/>
        <w:outlineLvl w:val="0"/>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b w:val="0"/>
          <w:bCs w:val="0"/>
          <w:color w:val="000000" w:themeColor="text1"/>
          <w:spacing w:val="0"/>
          <w:kern w:val="2"/>
          <w:sz w:val="32"/>
          <w:szCs w:val="32"/>
          <w:lang w:val="en-US" w:eastAsia="zh-CN" w:bidi="ar-SA"/>
          <w14:textFill>
            <w14:solidFill>
              <w14:schemeClr w14:val="tx1"/>
            </w14:solidFill>
          </w14:textFill>
        </w:rPr>
        <w:t>2022</w:t>
      </w:r>
      <w:r>
        <w:rPr>
          <w:rFonts w:hint="eastAsia" w:ascii="Times New Roman" w:hAnsi="Times New Roman" w:eastAsia="仿宋_GB2312" w:cs="仿宋_GB2312"/>
          <w:b w:val="0"/>
          <w:bCs w:val="0"/>
          <w:color w:val="000000" w:themeColor="text1"/>
          <w:spacing w:val="0"/>
          <w:kern w:val="2"/>
          <w:sz w:val="32"/>
          <w:szCs w:val="32"/>
          <w:lang w:val="en-US" w:eastAsia="zh-CN" w:bidi="ar-SA"/>
          <w14:textFill>
            <w14:solidFill>
              <w14:schemeClr w14:val="tx1"/>
            </w14:solidFill>
          </w14:textFill>
        </w:rPr>
        <w:t>年</w:t>
      </w:r>
      <w:r>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t>修改</w:t>
      </w:r>
      <w:r>
        <w:rPr>
          <w:rFonts w:hint="eastAsia" w:ascii="Times New Roman" w:hAnsi="Times New Roman" w:eastAsia="仿宋_GB2312" w:cs="仿宋_GB2312"/>
          <w:b w:val="0"/>
          <w:bCs w:val="0"/>
          <w:color w:val="000000" w:themeColor="text1"/>
          <w:spacing w:val="0"/>
          <w:kern w:val="2"/>
          <w:sz w:val="32"/>
          <w:szCs w:val="32"/>
          <w:lang w:val="en-US" w:eastAsia="zh-CN" w:bidi="ar-SA"/>
          <w14:textFill>
            <w14:solidFill>
              <w14:schemeClr w14:val="tx1"/>
            </w14:solidFill>
          </w14:textFill>
        </w:rPr>
        <w:t>的《反垄断法》第五十六条明确规定：“经营者的法定代表人、主要负责人和直接责任人员对达成垄断协议负有个人责任的，可以处一百万元以下的罚款。”该款</w:t>
      </w:r>
      <w:r>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t>明确我国</w:t>
      </w:r>
      <w:r>
        <w:rPr>
          <w:rFonts w:hint="eastAsia" w:ascii="Times New Roman" w:hAnsi="Times New Roman" w:eastAsia="仿宋_GB2312" w:cs="仿宋_GB2312"/>
          <w:b w:val="0"/>
          <w:bCs w:val="0"/>
          <w:color w:val="000000" w:themeColor="text1"/>
          <w:spacing w:val="0"/>
          <w:kern w:val="2"/>
          <w:sz w:val="32"/>
          <w:szCs w:val="32"/>
          <w:lang w:val="en-US" w:eastAsia="zh-CN" w:bidi="ar-SA"/>
          <w14:textFill>
            <w14:solidFill>
              <w14:schemeClr w14:val="tx1"/>
            </w14:solidFill>
          </w14:textFill>
        </w:rPr>
        <w:t>反垄断执法机构</w:t>
      </w:r>
      <w:r>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t>可以</w:t>
      </w:r>
      <w:r>
        <w:rPr>
          <w:rFonts w:hint="eastAsia" w:ascii="Times New Roman" w:hAnsi="Times New Roman" w:eastAsia="仿宋_GB2312" w:cs="仿宋_GB2312"/>
          <w:b w:val="0"/>
          <w:bCs w:val="0"/>
          <w:color w:val="000000" w:themeColor="text1"/>
          <w:spacing w:val="0"/>
          <w:kern w:val="2"/>
          <w:sz w:val="32"/>
          <w:szCs w:val="32"/>
          <w:lang w:val="en-US" w:eastAsia="zh-CN" w:bidi="ar-SA"/>
          <w14:textFill>
            <w14:solidFill>
              <w14:schemeClr w14:val="tx1"/>
            </w14:solidFill>
          </w14:textFill>
        </w:rPr>
        <w:t>根据垄断协议达成情况、相关个人在达成垄断协议中的作用</w:t>
      </w:r>
      <w:r>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t>等</w:t>
      </w:r>
      <w:r>
        <w:rPr>
          <w:rFonts w:hint="eastAsia" w:ascii="Times New Roman" w:hAnsi="Times New Roman" w:eastAsia="仿宋_GB2312" w:cs="仿宋_GB2312"/>
          <w:b w:val="0"/>
          <w:bCs w:val="0"/>
          <w:color w:val="000000" w:themeColor="text1"/>
          <w:spacing w:val="0"/>
          <w:kern w:val="2"/>
          <w:sz w:val="32"/>
          <w:szCs w:val="32"/>
          <w:lang w:val="en-US" w:eastAsia="zh-CN" w:bidi="ar-SA"/>
          <w14:textFill>
            <w14:solidFill>
              <w14:schemeClr w14:val="tx1"/>
            </w14:solidFill>
          </w14:textFill>
        </w:rPr>
        <w:t>，追究经营者的法定代表人、主要负责人和直接责任人员的法律责任。</w:t>
      </w:r>
      <w:r>
        <w:rPr>
          <w:rFonts w:hint="eastAsia" w:ascii="Times New Roman" w:hAnsi="Times New Roman" w:cs="仿宋_GB2312"/>
          <w:b w:val="0"/>
          <w:bCs w:val="0"/>
          <w:color w:val="000000" w:themeColor="text1"/>
          <w:spacing w:val="0"/>
          <w:kern w:val="2"/>
          <w:sz w:val="32"/>
          <w:szCs w:val="32"/>
          <w:lang w:val="en-US" w:eastAsia="zh-CN" w:bidi="ar-SA"/>
          <w14:textFill>
            <w14:solidFill>
              <w14:schemeClr w14:val="tx1"/>
            </w14:solidFill>
          </w14:textFill>
        </w:rPr>
        <w:t>鉴于《反垄断法》该条</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规定较为原则，</w:t>
      </w:r>
      <w:r>
        <w:rPr>
          <w:rFonts w:hint="eastAsia" w:ascii="Times New Roman" w:hAnsi="Times New Roman" w:cs="仿宋_GB2312"/>
          <w:b w:val="0"/>
          <w:bCs w:val="0"/>
          <w:color w:val="000000" w:themeColor="text1"/>
          <w:sz w:val="32"/>
          <w:szCs w:val="32"/>
          <w:lang w:val="en-US" w:eastAsia="zh-CN"/>
          <w14:textFill>
            <w14:solidFill>
              <w14:schemeClr w14:val="tx1"/>
            </w14:solidFill>
          </w14:textFill>
        </w:rPr>
        <w:t>在具体适用情形、认定因素及处罚裁量</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等方面</w:t>
      </w:r>
      <w:r>
        <w:rPr>
          <w:rFonts w:hint="eastAsia" w:ascii="Times New Roman" w:hAnsi="Times New Roman" w:cs="仿宋_GB2312"/>
          <w:b w:val="0"/>
          <w:bCs w:val="0"/>
          <w:color w:val="000000" w:themeColor="text1"/>
          <w:sz w:val="32"/>
          <w:szCs w:val="32"/>
          <w:lang w:val="en-US" w:eastAsia="zh-CN"/>
          <w14:textFill>
            <w14:solidFill>
              <w14:schemeClr w14:val="tx1"/>
            </w14:solidFill>
          </w14:textFill>
        </w:rPr>
        <w:t>需要更加明确、细化的规定</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w:t>
      </w:r>
      <w:r>
        <w:rPr>
          <w:rFonts w:hint="eastAsia" w:ascii="Times New Roman" w:hAnsi="Times New Roman" w:cs="仿宋_GB2312"/>
          <w:b w:val="0"/>
          <w:bCs w:val="0"/>
          <w:color w:val="000000" w:themeColor="text1"/>
          <w:sz w:val="32"/>
          <w:szCs w:val="32"/>
          <w:lang w:val="en-US" w:eastAsia="zh-CN"/>
          <w14:textFill>
            <w14:solidFill>
              <w14:schemeClr w14:val="tx1"/>
            </w14:solidFill>
          </w14:textFill>
        </w:rPr>
        <w:t>有必要制定相关指引，提升法律适用的确定性、针对性和有效性</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w:t>
      </w:r>
    </w:p>
    <w:p>
      <w:pPr>
        <w:keepNext w:val="0"/>
        <w:keepLines w:val="0"/>
        <w:pageBreakBefore w:val="0"/>
        <w:numPr>
          <w:ilvl w:val="0"/>
          <w:numId w:val="1"/>
        </w:numPr>
        <w:kinsoku/>
        <w:wordWrap/>
        <w:overflowPunct/>
        <w:topLinePunct w:val="0"/>
        <w:autoSpaceDE/>
        <w:autoSpaceDN/>
        <w:bidi w:val="0"/>
        <w:adjustRightInd w:val="0"/>
        <w:snapToGrid w:val="0"/>
        <w:spacing w:line="594" w:lineRule="exact"/>
        <w:ind w:left="0" w:leftChars="0" w:firstLine="640" w:firstLineChars="200"/>
        <w:jc w:val="both"/>
        <w:textAlignment w:val="auto"/>
        <w:rPr>
          <w:rFonts w:hint="eastAsia" w:ascii="Times New Roman" w:hAnsi="Times New Roman" w:eastAsia="黑体" w:cs="黑体"/>
          <w:b w:val="0"/>
          <w:bCs w:val="0"/>
          <w:color w:val="000000" w:themeColor="text1"/>
          <w:sz w:val="32"/>
          <w:szCs w:val="32"/>
          <w:lang w:val="en-US" w:eastAsia="zh-CN"/>
          <w14:textFill>
            <w14:solidFill>
              <w14:schemeClr w14:val="tx1"/>
            </w14:solidFill>
          </w14:textFill>
        </w:rPr>
      </w:pPr>
      <w:r>
        <w:rPr>
          <w:rFonts w:hint="eastAsia" w:ascii="Times New Roman" w:hAnsi="Times New Roman" w:eastAsia="黑体" w:cs="黑体"/>
          <w:b w:val="0"/>
          <w:bCs w:val="0"/>
          <w:color w:val="000000" w:themeColor="text1"/>
          <w:sz w:val="32"/>
          <w:szCs w:val="32"/>
          <w:lang w:val="en-US" w:eastAsia="zh-CN"/>
          <w14:textFill>
            <w14:solidFill>
              <w14:schemeClr w14:val="tx1"/>
            </w14:solidFill>
          </w14:textFill>
        </w:rPr>
        <w:t>起草过程</w:t>
      </w:r>
    </w:p>
    <w:p>
      <w:pPr>
        <w:keepNext w:val="0"/>
        <w:keepLines w:val="0"/>
        <w:pageBreakBefore w:val="0"/>
        <w:widowControl/>
        <w:numPr>
          <w:ilvl w:val="0"/>
          <w:numId w:val="0"/>
        </w:numPr>
        <w:kinsoku/>
        <w:wordWrap/>
        <w:overflowPunct/>
        <w:topLinePunct w:val="0"/>
        <w:autoSpaceDE/>
        <w:autoSpaceDN/>
        <w:bidi w:val="0"/>
        <w:adjustRightInd w:val="0"/>
        <w:snapToGrid w:val="0"/>
        <w:spacing w:line="594" w:lineRule="exact"/>
        <w:ind w:firstLine="640" w:firstLineChars="200"/>
        <w:textAlignment w:val="auto"/>
        <w:rPr>
          <w:rFonts w:hint="default" w:ascii="Times New Roman" w:hAnsi="Times New Roman" w:eastAsia="仿宋_GB2312" w:cs="Times New Roman"/>
          <w:color w:val="000000" w:themeColor="text1"/>
          <w:kern w:val="0"/>
          <w:sz w:val="32"/>
          <w:szCs w:val="32"/>
          <w:highlight w:val="none"/>
          <w:lang w:val="en-US" w:eastAsia="zh-CN"/>
          <w14:textFill>
            <w14:solidFill>
              <w14:schemeClr w14:val="tx1"/>
            </w14:solidFill>
          </w14:textFill>
        </w:rPr>
      </w:pPr>
      <w:r>
        <w:rPr>
          <w:rFonts w:hint="eastAsia" w:ascii="Times New Roman" w:hAnsi="Times New Roman" w:eastAsia="楷体" w:cs="楷体"/>
          <w:b w:val="0"/>
          <w:bCs w:val="0"/>
          <w:color w:val="000000" w:themeColor="text1"/>
          <w:kern w:val="0"/>
          <w:sz w:val="32"/>
          <w:szCs w:val="32"/>
          <w:lang w:val="en-US" w:eastAsia="zh-CN"/>
          <w14:textFill>
            <w14:solidFill>
              <w14:schemeClr w14:val="tx1"/>
            </w14:solidFill>
          </w14:textFill>
        </w:rPr>
        <w:t>（一）总结执法实践经验</w:t>
      </w:r>
      <w:r>
        <w:rPr>
          <w:rFonts w:hint="default" w:ascii="Times New Roman" w:hAnsi="Times New Roman" w:eastAsia="楷体" w:cs="楷体"/>
          <w:b w:val="0"/>
          <w:bCs w:val="0"/>
          <w:color w:val="000000" w:themeColor="text1"/>
          <w:kern w:val="0"/>
          <w:sz w:val="32"/>
          <w:szCs w:val="24"/>
          <w:lang w:val="en-US" w:eastAsia="zh-CN" w:bidi="ar-SA"/>
          <w14:textFill>
            <w14:solidFill>
              <w14:schemeClr w14:val="tx1"/>
            </w14:solidFill>
          </w14:textFill>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深入总结《反垄断法》实施以来</w:t>
      </w:r>
      <w:r>
        <w:rPr>
          <w:rFonts w:hint="eastAsia" w:ascii="Times New Roman" w:hAnsi="Times New Roman" w:eastAsia="仿宋_GB2312" w:cs="Times New Roman"/>
          <w:b w:val="0"/>
          <w:bCs w:val="0"/>
          <w:color w:val="000000" w:themeColor="text1"/>
          <w:kern w:val="0"/>
          <w:sz w:val="32"/>
          <w:szCs w:val="24"/>
          <w:lang w:val="en-US" w:eastAsia="zh-CN" w:bidi="ar-SA"/>
          <w14:textFill>
            <w14:solidFill>
              <w14:schemeClr w14:val="tx1"/>
            </w14:solidFill>
          </w14:textFill>
        </w:rPr>
        <w:t>甲硫酸新斯的明注射液垄断协议案、地塞米松磷酸钠原料药垄断协议案</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中追究垄断协议个人责任的实践经验，系统梳理执法中面临的重点难点问题，探讨符合反垄断执法实践需要的制度规则，强化《指引》的针对性。</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rPr>
          <w:rFonts w:hint="default" w:ascii="Times New Roman" w:hAnsi="Times New Roman" w:eastAsia="仿宋_GB2312" w:cs="Times New Roman"/>
          <w:color w:val="000000" w:themeColor="text1"/>
          <w:kern w:val="0"/>
          <w:sz w:val="32"/>
          <w:szCs w:val="24"/>
          <w:lang w:val="en-US" w:eastAsia="zh-CN" w:bidi="ar-SA"/>
          <w14:textFill>
            <w14:solidFill>
              <w14:schemeClr w14:val="tx1"/>
            </w14:solidFill>
          </w14:textFill>
        </w:rPr>
      </w:pPr>
      <w:r>
        <w:rPr>
          <w:rFonts w:hint="eastAsia" w:ascii="Times New Roman" w:hAnsi="Times New Roman" w:eastAsia="楷体" w:cs="楷体"/>
          <w:b w:val="0"/>
          <w:bCs w:val="0"/>
          <w:color w:val="000000" w:themeColor="text1"/>
          <w:kern w:val="0"/>
          <w:sz w:val="32"/>
          <w:szCs w:val="32"/>
          <w:lang w:val="en-US" w:eastAsia="zh-CN"/>
          <w14:textFill>
            <w14:solidFill>
              <w14:schemeClr w14:val="tx1"/>
            </w14:solidFill>
          </w14:textFill>
        </w:rPr>
        <w:t>（二）</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组织开展专题研究。</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聚焦基本理论和实践问题，</w:t>
      </w:r>
      <w:r>
        <w:rPr>
          <w:rFonts w:hint="eastAsia" w:ascii="Times New Roman" w:hAnsi="Times New Roman" w:eastAsia="仿宋_GB2312" w:cs="Times New Roman"/>
          <w:b w:val="0"/>
          <w:bCs w:val="0"/>
          <w:color w:val="000000" w:themeColor="text1"/>
          <w:kern w:val="0"/>
          <w:sz w:val="32"/>
          <w:szCs w:val="32"/>
          <w:highlight w:val="none"/>
          <w:lang w:eastAsia="zh-CN"/>
          <w14:textFill>
            <w14:solidFill>
              <w14:schemeClr w14:val="tx1"/>
            </w14:solidFill>
          </w14:textFill>
        </w:rPr>
        <w:t>借鉴域外主要司法辖区立法及案例，围绕企业管理人员</w:t>
      </w:r>
      <w:r>
        <w:rPr>
          <w:rFonts w:hint="default" w:ascii="Times New Roman" w:hAnsi="Times New Roman" w:eastAsia="仿宋_GB2312" w:cs="Times New Roman"/>
          <w:b w:val="0"/>
          <w:bCs w:val="0"/>
          <w:color w:val="000000" w:themeColor="text1"/>
          <w:kern w:val="0"/>
          <w:sz w:val="32"/>
          <w:szCs w:val="32"/>
          <w:highlight w:val="none"/>
          <w:lang w:eastAsia="zh-CN"/>
          <w14:textFill>
            <w14:solidFill>
              <w14:schemeClr w14:val="tx1"/>
            </w14:solidFill>
          </w14:textFill>
        </w:rPr>
        <w:t>在垄断行为中的角色、责任界定、追责路径等核心问题开展系统研究</w:t>
      </w:r>
      <w:r>
        <w:rPr>
          <w:rFonts w:hint="eastAsia" w:ascii="Times New Roman" w:hAnsi="Times New Roman" w:eastAsia="仿宋_GB2312" w:cs="仿宋_GB2312"/>
          <w:sz w:val="32"/>
          <w:szCs w:val="32"/>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加强论证，</w:t>
      </w:r>
      <w:r>
        <w:rPr>
          <w:rFonts w:hint="eastAsia" w:ascii="Times New Roman" w:hAnsi="Times New Roman" w:eastAsia="仿宋_GB2312" w:cs="仿宋_GB2312"/>
          <w:sz w:val="32"/>
          <w:szCs w:val="32"/>
        </w:rPr>
        <w:t>为科学制定相关规则提供有效支撑。</w:t>
      </w:r>
    </w:p>
    <w:p>
      <w:pPr>
        <w:keepNext w:val="0"/>
        <w:keepLines w:val="0"/>
        <w:pageBreakBefore w:val="0"/>
        <w:widowControl w:val="0"/>
        <w:kinsoku/>
        <w:wordWrap/>
        <w:overflowPunct/>
        <w:topLinePunct w:val="0"/>
        <w:autoSpaceDE/>
        <w:autoSpaceDN/>
        <w:bidi w:val="0"/>
        <w:adjustRightInd w:val="0"/>
        <w:snapToGrid w:val="0"/>
        <w:spacing w:line="594" w:lineRule="exact"/>
        <w:ind w:left="0" w:leftChars="0" w:right="0" w:rightChars="0" w:firstLine="640" w:firstLineChars="200"/>
        <w:jc w:val="both"/>
        <w:textAlignment w:val="auto"/>
        <w:outlineLvl w:val="9"/>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pPr>
      <w:r>
        <w:rPr>
          <w:rFonts w:hint="eastAsia" w:ascii="Times New Roman" w:hAnsi="Times New Roman" w:eastAsia="楷体" w:cs="Times New Roman"/>
          <w:b w:val="0"/>
          <w:bCs w:val="0"/>
          <w:sz w:val="32"/>
          <w:szCs w:val="32"/>
          <w:lang w:eastAsia="zh-CN"/>
        </w:rPr>
        <w:t>（三）征求相关方意见。</w:t>
      </w:r>
      <w:r>
        <w:rPr>
          <w:rFonts w:hint="eastAsia" w:ascii="Times New Roman" w:hAnsi="Times New Roman" w:eastAsia="仿宋_GB2312" w:cs="仿宋_GB2312"/>
          <w:sz w:val="32"/>
          <w:szCs w:val="32"/>
          <w:lang w:val="en-US" w:eastAsia="zh-CN"/>
        </w:rPr>
        <w:t>书面征求国务院反垄断反不正当竞争委员会成员单位、省级市场监管部门意见，召开企业、律所及专家座谈会，认真听取意见建议。在此基础上，修改完善形成《指引》。</w:t>
      </w:r>
    </w:p>
    <w:p>
      <w:pPr>
        <w:keepNext w:val="0"/>
        <w:keepLines w:val="0"/>
        <w:pageBreakBefore w:val="0"/>
        <w:widowControl w:val="0"/>
        <w:numPr>
          <w:ilvl w:val="0"/>
          <w:numId w:val="0"/>
        </w:numPr>
        <w:kinsoku/>
        <w:wordWrap/>
        <w:overflowPunct/>
        <w:topLinePunct w:val="0"/>
        <w:autoSpaceDE/>
        <w:autoSpaceDN/>
        <w:bidi w:val="0"/>
        <w:adjustRightInd w:val="0"/>
        <w:snapToGrid w:val="0"/>
        <w:spacing w:line="594" w:lineRule="exact"/>
        <w:ind w:firstLine="640" w:firstLineChars="200"/>
        <w:jc w:val="both"/>
        <w:textAlignment w:val="auto"/>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pPr>
      <w:r>
        <w:rPr>
          <w:rFonts w:hint="eastAsia" w:ascii="Times New Roman" w:hAnsi="Times New Roman" w:eastAsia="黑体" w:cs="黑体"/>
          <w:b w:val="0"/>
          <w:bCs w:val="0"/>
          <w:color w:val="000000" w:themeColor="text1"/>
          <w:sz w:val="32"/>
          <w:szCs w:val="32"/>
          <w:lang w:val="en-US" w:eastAsia="zh-CN"/>
          <w14:textFill>
            <w14:solidFill>
              <w14:schemeClr w14:val="tx1"/>
            </w14:solidFill>
          </w14:textFill>
        </w:rPr>
        <w:t>三、</w:t>
      </w:r>
      <w:r>
        <w:rPr>
          <w:rFonts w:hint="default" w:ascii="Times New Roman" w:hAnsi="Times New Roman" w:eastAsia="黑体" w:cs="Times New Roman"/>
          <w:b w:val="0"/>
          <w:bCs w:val="0"/>
          <w:color w:val="000000" w:themeColor="text1"/>
          <w:sz w:val="32"/>
          <w:szCs w:val="32"/>
          <w14:textFill>
            <w14:solidFill>
              <w14:schemeClr w14:val="tx1"/>
            </w14:solidFill>
          </w14:textFill>
        </w:rPr>
        <w:t>主要内容</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 xml:space="preserve">  </w:t>
      </w:r>
    </w:p>
    <w:p>
      <w:pPr>
        <w:keepNext w:val="0"/>
        <w:keepLines w:val="0"/>
        <w:pageBreakBefore w:val="0"/>
        <w:widowControl w:val="0"/>
        <w:numPr>
          <w:ilvl w:val="0"/>
          <w:numId w:val="0"/>
        </w:numPr>
        <w:kinsoku/>
        <w:wordWrap/>
        <w:overflowPunct/>
        <w:topLinePunct w:val="0"/>
        <w:autoSpaceDE/>
        <w:autoSpaceDN/>
        <w:bidi w:val="0"/>
        <w:adjustRightInd w:val="0"/>
        <w:snapToGrid w:val="0"/>
        <w:spacing w:line="594" w:lineRule="exact"/>
        <w:ind w:firstLine="640" w:firstLineChars="200"/>
        <w:jc w:val="both"/>
        <w:textAlignment w:val="auto"/>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pPr>
      <w:r>
        <w:rPr>
          <w:rFonts w:hint="default" w:ascii="Times New Roman" w:hAnsi="Times New Roman" w:eastAsia="仿宋_GB2312" w:cs="Times New Roman"/>
          <w:color w:val="000000" w:themeColor="text1"/>
          <w:sz w:val="32"/>
          <w:szCs w:val="32"/>
          <w:lang w:eastAsia="zh-CN"/>
          <w14:textFill>
            <w14:solidFill>
              <w14:schemeClr w14:val="tx1"/>
            </w14:solidFill>
          </w14:textFill>
        </w:rPr>
        <w:t>《</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指引</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》共</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16</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条，进一步</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明确个人责任适用范围、</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适用情形、裁量因素</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等，主要内容如下</w:t>
      </w:r>
      <w:r>
        <w:rPr>
          <w:rFonts w:hint="eastAsia" w:ascii="Times New Roman" w:hAnsi="Times New Roman" w:eastAsia="仿宋_GB2312" w:cs="仿宋_GB2312"/>
          <w:b w:val="0"/>
          <w:bCs w:val="0"/>
          <w:color w:val="000000" w:themeColor="text1"/>
          <w:sz w:val="32"/>
          <w:szCs w:val="32"/>
          <w:lang w:val="en-US"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rPr>
          <w:rFonts w:hint="default" w:ascii="Times New Roman" w:hAnsi="Times New Roman" w:eastAsia="仿宋_GB2312" w:cs="Times New Roman"/>
          <w:color w:val="000000" w:themeColor="text1"/>
          <w:sz w:val="32"/>
          <w:szCs w:val="32"/>
          <w:lang w:eastAsia="zh-CN"/>
          <w14:textFill>
            <w14:solidFill>
              <w14:schemeClr w14:val="tx1"/>
            </w14:solidFill>
          </w14:textFill>
        </w:rPr>
      </w:pPr>
      <w:r>
        <w:rPr>
          <w:rFonts w:hint="default" w:ascii="Times New Roman" w:hAnsi="Times New Roman" w:eastAsia="楷体" w:cs="Times New Roman"/>
          <w:b w:val="0"/>
          <w:bCs w:val="0"/>
          <w:color w:val="000000" w:themeColor="text1"/>
          <w:sz w:val="32"/>
          <w:szCs w:val="32"/>
          <w14:textFill>
            <w14:solidFill>
              <w14:schemeClr w14:val="tx1"/>
            </w14:solidFill>
          </w14:textFill>
        </w:rPr>
        <w:t>（一）</w:t>
      </w:r>
      <w:r>
        <w:rPr>
          <w:rFonts w:hint="default" w:ascii="Times New Roman" w:hAnsi="Times New Roman" w:eastAsia="楷体" w:cs="Times New Roman"/>
          <w:b w:val="0"/>
          <w:bCs w:val="0"/>
          <w:color w:val="000000" w:themeColor="text1"/>
          <w:sz w:val="32"/>
          <w:szCs w:val="32"/>
          <w:lang w:eastAsia="zh-CN"/>
          <w14:textFill>
            <w14:solidFill>
              <w14:schemeClr w14:val="tx1"/>
            </w14:solidFill>
          </w14:textFill>
        </w:rPr>
        <w:t>阐述</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立法目的和基本</w:t>
      </w:r>
      <w:r>
        <w:rPr>
          <w:rFonts w:hint="default" w:ascii="Times New Roman" w:hAnsi="Times New Roman" w:eastAsia="楷体" w:cs="Times New Roman"/>
          <w:b w:val="0"/>
          <w:bCs w:val="0"/>
          <w:color w:val="000000" w:themeColor="text1"/>
          <w:sz w:val="32"/>
          <w:szCs w:val="32"/>
          <w:lang w:eastAsia="zh-CN"/>
          <w14:textFill>
            <w14:solidFill>
              <w14:schemeClr w14:val="tx1"/>
            </w14:solidFill>
          </w14:textFill>
        </w:rPr>
        <w:t>原则</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（第</w:t>
      </w:r>
      <w:r>
        <w:rPr>
          <w:rFonts w:hint="eastAsia" w:ascii="Times New Roman" w:hAnsi="Times New Roman" w:eastAsia="楷体" w:cs="Times New Roman"/>
          <w:b w:val="0"/>
          <w:bCs w:val="0"/>
          <w:color w:val="000000" w:themeColor="text1"/>
          <w:sz w:val="32"/>
          <w:szCs w:val="32"/>
          <w:lang w:val="en-US" w:eastAsia="zh-CN"/>
          <w14:textFill>
            <w14:solidFill>
              <w14:schemeClr w14:val="tx1"/>
            </w14:solidFill>
          </w14:textFill>
        </w:rPr>
        <w:t>1条至第3条</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w:t>
      </w:r>
      <w:r>
        <w:rPr>
          <w:rFonts w:hint="default" w:ascii="Times New Roman" w:hAnsi="Times New Roman" w:eastAsia="楷体" w:cs="Times New Roman"/>
          <w:b w:val="0"/>
          <w:bCs w:val="0"/>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sz w:val="32"/>
          <w:szCs w:val="32"/>
          <w:lang w:eastAsia="zh-CN"/>
        </w:rPr>
        <w:t>阐明《指</w:t>
      </w:r>
      <w:r>
        <w:rPr>
          <w:rFonts w:hint="eastAsia" w:ascii="Times New Roman" w:hAnsi="Times New Roman" w:eastAsia="仿宋_GB2312" w:cs="仿宋_GB2312"/>
          <w:color w:val="000000"/>
          <w:sz w:val="32"/>
          <w:szCs w:val="32"/>
          <w:lang w:eastAsia="zh-CN"/>
        </w:rPr>
        <w:t>引》立法目的、适用范围，以及</w:t>
      </w:r>
      <w:r>
        <w:rPr>
          <w:rFonts w:hint="eastAsia" w:ascii="Times New Roman" w:hAnsi="Times New Roman" w:eastAsia="仿宋_GB2312" w:cs="仿宋_GB2312"/>
          <w:color w:val="000000" w:themeColor="text1"/>
          <w:spacing w:val="0"/>
          <w:kern w:val="2"/>
          <w:sz w:val="32"/>
          <w:szCs w:val="32"/>
          <w:lang w:val="en-US" w:eastAsia="zh-CN" w:bidi="ar-SA"/>
          <w14:textFill>
            <w14:solidFill>
              <w14:schemeClr w14:val="tx1"/>
            </w14:solidFill>
          </w14:textFill>
        </w:rPr>
        <w:t>反垄断执法机构对负有责任的个人给予行政处罚时遵循的基本原则</w:t>
      </w:r>
      <w:r>
        <w:rPr>
          <w:rFonts w:hint="eastAsia" w:ascii="Times New Roman" w:hAnsi="Times New Roman" w:eastAsia="仿宋_GB2312" w:cs="Times New Roman"/>
          <w:color w:val="000000"/>
          <w:sz w:val="32"/>
          <w:szCs w:val="32"/>
          <w:lang w:eastAsia="zh-CN"/>
        </w:rPr>
        <w:t>。《指引》明确，并非在所有垄断协议案件中均要追究个人责任，而是根据具体垄断协议的危害程度、相关个人在达成垄断协议中的作用等因素综合决定</w:t>
      </w:r>
      <w:r>
        <w:rPr>
          <w:rFonts w:hint="default" w:ascii="Times New Roman" w:hAnsi="Times New Roman" w:eastAsia="仿宋_GB2312" w:cs="Times New Roman"/>
          <w:color w:val="000000"/>
          <w:sz w:val="32"/>
          <w:szCs w:val="32"/>
          <w:lang w:eastAsia="zh-CN"/>
        </w:rPr>
        <w:t>，</w:t>
      </w:r>
      <w:r>
        <w:rPr>
          <w:rFonts w:hint="eastAsia" w:ascii="Times New Roman" w:hAnsi="Times New Roman" w:eastAsia="仿宋_GB2312" w:cs="Times New Roman"/>
          <w:color w:val="000000"/>
          <w:sz w:val="32"/>
          <w:szCs w:val="32"/>
          <w:lang w:eastAsia="zh-CN"/>
        </w:rPr>
        <w:t>以更好体现处罚法定、过罚相当、公正公开、处罚与教育相结合的原则</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w:t>
      </w:r>
    </w:p>
    <w:p>
      <w:pPr>
        <w:keepNext w:val="0"/>
        <w:keepLines w:val="0"/>
        <w:pageBreakBefore w:val="0"/>
        <w:widowControl w:val="0"/>
        <w:kinsoku/>
        <w:wordWrap/>
        <w:overflowPunct/>
        <w:topLinePunct w:val="0"/>
        <w:autoSpaceDE/>
        <w:autoSpaceDN/>
        <w:bidi w:val="0"/>
        <w:adjustRightInd w:val="0"/>
        <w:snapToGrid w:val="0"/>
        <w:spacing w:line="594" w:lineRule="exact"/>
        <w:ind w:firstLine="640" w:firstLineChars="200"/>
        <w:textAlignment w:val="auto"/>
        <w:rPr>
          <w:rFonts w:hint="default" w:ascii="Times New Roman" w:hAnsi="Times New Roman" w:eastAsia="仿宋_GB2312" w:cs="Times New Roman"/>
          <w:color w:val="000000" w:themeColor="text1"/>
          <w:sz w:val="32"/>
          <w:szCs w:val="32"/>
          <w:lang w:eastAsia="zh-CN"/>
          <w14:textFill>
            <w14:solidFill>
              <w14:schemeClr w14:val="tx1"/>
            </w14:solidFill>
          </w14:textFill>
        </w:rPr>
      </w:pPr>
      <w:r>
        <w:rPr>
          <w:rFonts w:hint="default" w:ascii="Times New Roman" w:hAnsi="Times New Roman" w:eastAsia="楷体" w:cs="Times New Roman"/>
          <w:b w:val="0"/>
          <w:bCs w:val="0"/>
          <w:color w:val="000000" w:themeColor="text1"/>
          <w:sz w:val="32"/>
          <w:szCs w:val="32"/>
          <w14:textFill>
            <w14:solidFill>
              <w14:schemeClr w14:val="tx1"/>
            </w14:solidFill>
          </w14:textFill>
        </w:rPr>
        <w:t>（二）</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细化追责范围和追责情形（第</w:t>
      </w:r>
      <w:r>
        <w:rPr>
          <w:rFonts w:hint="eastAsia" w:ascii="Times New Roman" w:hAnsi="Times New Roman" w:eastAsia="楷体" w:cs="Times New Roman"/>
          <w:b w:val="0"/>
          <w:bCs w:val="0"/>
          <w:color w:val="000000" w:themeColor="text1"/>
          <w:sz w:val="32"/>
          <w:szCs w:val="32"/>
          <w:lang w:val="en-US" w:eastAsia="zh-CN"/>
          <w14:textFill>
            <w14:solidFill>
              <w14:schemeClr w14:val="tx1"/>
            </w14:solidFill>
          </w14:textFill>
        </w:rPr>
        <w:t>4条至第6条</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w:t>
      </w:r>
      <w:r>
        <w:rPr>
          <w:rFonts w:hint="default" w:ascii="Times New Roman" w:hAnsi="Times New Roman" w:eastAsia="楷体" w:cs="Times New Roman"/>
          <w:b w:val="0"/>
          <w:bCs w:val="0"/>
          <w:color w:val="000000" w:themeColor="text1"/>
          <w:sz w:val="32"/>
          <w:szCs w:val="32"/>
          <w14:textFill>
            <w14:solidFill>
              <w14:schemeClr w14:val="tx1"/>
            </w14:solidFill>
          </w14:textFill>
        </w:rPr>
        <w:t>。</w:t>
      </w:r>
      <w:r>
        <w:rPr>
          <w:rFonts w:hint="eastAsia" w:ascii="Times New Roman" w:hAnsi="Times New Roman" w:eastAsia="仿宋_GB2312" w:cs="Times New Roman"/>
          <w:b w:val="0"/>
          <w:bCs w:val="0"/>
          <w:color w:val="000000" w:themeColor="text1"/>
          <w:sz w:val="32"/>
          <w:szCs w:val="32"/>
          <w:lang w:eastAsia="zh-CN"/>
          <w14:textFill>
            <w14:solidFill>
              <w14:schemeClr w14:val="tx1"/>
            </w14:solidFill>
          </w14:textFill>
        </w:rPr>
        <w:t>《指引》</w:t>
      </w:r>
      <w:r>
        <w:rPr>
          <w:rFonts w:hint="eastAsia" w:ascii="Times New Roman" w:hAnsi="Times New Roman" w:eastAsia="仿宋_GB2312" w:cs="Times New Roman"/>
          <w:color w:val="000000"/>
          <w:sz w:val="32"/>
          <w:szCs w:val="32"/>
          <w:lang w:eastAsia="zh-CN"/>
        </w:rPr>
        <w:t>针对不同人员类型，分别细化追责范围和追究情形，提升法律适用的确定性。</w:t>
      </w:r>
      <w:r>
        <w:rPr>
          <w:rFonts w:hint="eastAsia" w:ascii="Times New Roman" w:hAnsi="Times New Roman" w:eastAsia="仿宋_GB2312" w:cs="Times New Roman"/>
          <w:b/>
          <w:bCs/>
          <w:color w:val="000000"/>
          <w:sz w:val="32"/>
          <w:szCs w:val="32"/>
          <w:lang w:eastAsia="zh-CN"/>
        </w:rPr>
        <w:t>一是</w:t>
      </w:r>
      <w:r>
        <w:rPr>
          <w:rFonts w:hint="eastAsia" w:ascii="Times New Roman" w:hAnsi="Times New Roman" w:eastAsia="仿宋_GB2312" w:cs="Times New Roman"/>
          <w:color w:val="000000"/>
          <w:sz w:val="32"/>
          <w:szCs w:val="32"/>
          <w:lang w:eastAsia="zh-CN"/>
        </w:rPr>
        <w:t>明确经营者法定代表人、主要负责人等主要管理人员的人员范围，列举其对达成垄断协议负有个人责任的行为表现；</w:t>
      </w:r>
      <w:r>
        <w:rPr>
          <w:rFonts w:hint="eastAsia" w:ascii="Times New Roman" w:hAnsi="Times New Roman" w:eastAsia="仿宋_GB2312" w:cs="Times New Roman"/>
          <w:b/>
          <w:bCs/>
          <w:color w:val="000000"/>
          <w:sz w:val="32"/>
          <w:szCs w:val="32"/>
          <w:lang w:eastAsia="zh-CN"/>
        </w:rPr>
        <w:t>二是</w:t>
      </w:r>
      <w:r>
        <w:rPr>
          <w:rFonts w:hint="eastAsia" w:ascii="Times New Roman" w:hAnsi="Times New Roman" w:eastAsia="仿宋_GB2312" w:cs="Times New Roman"/>
          <w:b w:val="0"/>
          <w:bCs w:val="0"/>
          <w:color w:val="000000"/>
          <w:sz w:val="32"/>
          <w:szCs w:val="32"/>
          <w:lang w:eastAsia="zh-CN"/>
        </w:rPr>
        <w:t>明确</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其他人员</w:t>
      </w:r>
      <w:r>
        <w:rPr>
          <w:rFonts w:hint="eastAsia" w:ascii="Times New Roman" w:hAnsi="Times New Roman" w:eastAsia="仿宋_GB2312" w:cs="仿宋_GB2312"/>
          <w:color w:val="000000"/>
          <w:sz w:val="32"/>
          <w:szCs w:val="32"/>
          <w:lang w:val="en-US" w:eastAsia="zh-CN"/>
        </w:rPr>
        <w:t>认定为</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对达成垄断协议负有个人责任的直接责任人员</w:t>
      </w:r>
      <w:r>
        <w:rPr>
          <w:rFonts w:hint="eastAsia" w:ascii="Times New Roman" w:hAnsi="Times New Roman" w:eastAsia="仿宋_GB2312" w:cs="仿宋_GB2312"/>
          <w:color w:val="000000"/>
          <w:sz w:val="32"/>
          <w:szCs w:val="32"/>
          <w:lang w:val="en-US" w:eastAsia="zh-CN"/>
        </w:rPr>
        <w:t>的行为表现；</w:t>
      </w:r>
      <w:r>
        <w:rPr>
          <w:rFonts w:hint="eastAsia" w:ascii="Times New Roman" w:hAnsi="Times New Roman" w:eastAsia="仿宋_GB2312" w:cs="Times New Roman"/>
          <w:b/>
          <w:bCs/>
          <w:color w:val="000000" w:themeColor="text1"/>
          <w:sz w:val="32"/>
          <w:szCs w:val="32"/>
          <w:lang w:eastAsia="zh-CN"/>
          <w14:textFill>
            <w14:solidFill>
              <w14:schemeClr w14:val="tx1"/>
            </w14:solidFill>
          </w14:textFill>
        </w:rPr>
        <w:t>三</w:t>
      </w:r>
      <w:r>
        <w:rPr>
          <w:rFonts w:hint="default" w:ascii="Times New Roman" w:hAnsi="Times New Roman" w:eastAsia="仿宋_GB2312" w:cs="Times New Roman"/>
          <w:b/>
          <w:bCs/>
          <w:color w:val="000000" w:themeColor="text1"/>
          <w:sz w:val="32"/>
          <w:szCs w:val="32"/>
          <w:lang w:eastAsia="zh-CN"/>
          <w14:textFill>
            <w14:solidFill>
              <w14:schemeClr w14:val="tx1"/>
            </w14:solidFill>
          </w14:textFill>
        </w:rPr>
        <w:t>是</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明确</w:t>
      </w:r>
      <w:r>
        <w:rPr>
          <w:rFonts w:hint="eastAsia" w:ascii="Times New Roman" w:hAnsi="Times New Roman" w:eastAsia="仿宋_GB2312" w:cs="Times New Roman"/>
          <w:color w:val="000000"/>
          <w:sz w:val="32"/>
          <w:szCs w:val="32"/>
          <w:lang w:val="en-US" w:eastAsia="zh-CN"/>
        </w:rPr>
        <w:t>执法机构应当追究个人责任的主要情形，包括</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垄断协议严重损害竞争、具有全国重大影响、危害国家利益等方面</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94" w:lineRule="exact"/>
        <w:ind w:firstLine="640" w:firstLineChars="200"/>
        <w:textAlignment w:val="auto"/>
        <w:rPr>
          <w:rFonts w:hint="default" w:ascii="Times New Roman" w:hAnsi="Times New Roman" w:eastAsia="仿宋_GB2312" w:cs="Times New Roman"/>
          <w:b w:val="0"/>
          <w:bCs w:val="0"/>
          <w:color w:val="000000" w:themeColor="text1"/>
          <w:sz w:val="32"/>
          <w:szCs w:val="32"/>
          <w:lang w:eastAsia="zh-CN"/>
          <w14:textFill>
            <w14:solidFill>
              <w14:schemeClr w14:val="tx1"/>
            </w14:solidFill>
          </w14:textFill>
        </w:rPr>
      </w:pPr>
      <w:r>
        <w:rPr>
          <w:rFonts w:hint="default" w:ascii="Times New Roman" w:hAnsi="Times New Roman" w:eastAsia="楷体" w:cs="Times New Roman"/>
          <w:b w:val="0"/>
          <w:bCs w:val="0"/>
          <w:color w:val="000000" w:themeColor="text1"/>
          <w:sz w:val="32"/>
          <w:szCs w:val="32"/>
          <w:lang w:eastAsia="zh-CN"/>
          <w14:textFill>
            <w14:solidFill>
              <w14:schemeClr w14:val="tx1"/>
            </w14:solidFill>
          </w14:textFill>
        </w:rPr>
        <w:t>（三）</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明确处罚依据及裁量因素（第</w:t>
      </w:r>
      <w:r>
        <w:rPr>
          <w:rFonts w:hint="eastAsia" w:ascii="Times New Roman" w:hAnsi="Times New Roman" w:eastAsia="楷体" w:cs="Times New Roman"/>
          <w:b w:val="0"/>
          <w:bCs w:val="0"/>
          <w:color w:val="000000" w:themeColor="text1"/>
          <w:sz w:val="32"/>
          <w:szCs w:val="32"/>
          <w:lang w:val="en-US" w:eastAsia="zh-CN"/>
          <w14:textFill>
            <w14:solidFill>
              <w14:schemeClr w14:val="tx1"/>
            </w14:solidFill>
          </w14:textFill>
        </w:rPr>
        <w:t>7条至第10条</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w:t>
      </w:r>
      <w:r>
        <w:rPr>
          <w:rFonts w:hint="default" w:ascii="Times New Roman" w:hAnsi="Times New Roman" w:eastAsia="楷体" w:cs="Times New Roman"/>
          <w:b w:val="0"/>
          <w:bCs w:val="0"/>
          <w:color w:val="000000" w:themeColor="text1"/>
          <w:sz w:val="32"/>
          <w:szCs w:val="32"/>
          <w14:textFill>
            <w14:solidFill>
              <w14:schemeClr w14:val="tx1"/>
            </w14:solidFill>
          </w14:textFill>
        </w:rPr>
        <w:t>。</w:t>
      </w:r>
      <w:r>
        <w:rPr>
          <w:rFonts w:hint="eastAsia" w:ascii="Times New Roman" w:hAnsi="Times New Roman" w:eastAsia="仿宋_GB2312" w:cs="Times New Roman"/>
          <w:color w:val="000000"/>
          <w:sz w:val="32"/>
          <w:szCs w:val="32"/>
          <w:lang w:eastAsia="zh-CN"/>
        </w:rPr>
        <w:t>明确从重、加重、从轻处罚情形，确保处罚与违法行为的性质、情节及危害后果相匹配。</w:t>
      </w:r>
      <w:r>
        <w:rPr>
          <w:rFonts w:hint="default" w:ascii="Times New Roman" w:hAnsi="Times New Roman" w:eastAsia="仿宋_GB2312" w:cs="Times New Roman"/>
          <w:b/>
          <w:bCs/>
          <w:color w:val="000000"/>
          <w:sz w:val="32"/>
          <w:szCs w:val="32"/>
          <w:lang w:eastAsia="zh-CN"/>
        </w:rPr>
        <w:t>一</w:t>
      </w:r>
      <w:r>
        <w:rPr>
          <w:rFonts w:hint="default" w:ascii="Times New Roman" w:hAnsi="Times New Roman" w:eastAsia="仿宋_GB2312" w:cs="Times New Roman"/>
          <w:b/>
          <w:bCs/>
          <w:color w:val="000000"/>
          <w:kern w:val="2"/>
          <w:sz w:val="32"/>
          <w:szCs w:val="32"/>
          <w:lang w:val="en-US" w:eastAsia="zh-CN" w:bidi="ar-SA"/>
        </w:rPr>
        <w:t>是</w:t>
      </w:r>
      <w:r>
        <w:rPr>
          <w:rFonts w:hint="eastAsia" w:ascii="Times New Roman" w:hAnsi="Times New Roman" w:eastAsia="仿宋_GB2312" w:cs="Times New Roman"/>
          <w:color w:val="000000"/>
          <w:sz w:val="32"/>
          <w:szCs w:val="32"/>
          <w:lang w:eastAsia="zh-CN"/>
        </w:rPr>
        <w:t>明确反垄断案件追究个人责任的处罚依据，以及确定具体罚款数额的裁量因素；</w:t>
      </w:r>
      <w:r>
        <w:rPr>
          <w:rFonts w:hint="eastAsia" w:ascii="Times New Roman" w:hAnsi="Times New Roman" w:eastAsia="仿宋_GB2312" w:cs="Times New Roman"/>
          <w:b/>
          <w:bCs/>
          <w:color w:val="000000"/>
          <w:sz w:val="32"/>
          <w:szCs w:val="32"/>
          <w:lang w:eastAsia="zh-CN"/>
        </w:rPr>
        <w:t>二是</w:t>
      </w:r>
      <w:r>
        <w:rPr>
          <w:rFonts w:hint="eastAsia" w:ascii="Times New Roman" w:hAnsi="Times New Roman" w:eastAsia="仿宋_GB2312" w:cs="Times New Roman"/>
          <w:color w:val="000000"/>
          <w:sz w:val="32"/>
          <w:szCs w:val="32"/>
          <w:lang w:eastAsia="zh-CN"/>
        </w:rPr>
        <w:t>明确在追究个人责任时从重、加重处罚的情形，包括多次从事违法行为，</w:t>
      </w:r>
      <w:r>
        <w:rPr>
          <w:rFonts w:hint="eastAsia" w:ascii="Times New Roman" w:hAnsi="Times New Roman" w:eastAsia="仿宋_GB2312" w:cs="仿宋_GB2312"/>
          <w:color w:val="000000"/>
          <w:sz w:val="32"/>
          <w:szCs w:val="32"/>
          <w:lang w:val="en-US" w:eastAsia="zh-CN"/>
        </w:rPr>
        <w:t>个人或者指使他人妨碍、逃避或者抗拒调查等</w:t>
      </w:r>
      <w:r>
        <w:rPr>
          <w:rFonts w:hint="eastAsia" w:ascii="Times New Roman" w:hAnsi="Times New Roman" w:eastAsia="仿宋_GB2312" w:cs="Times New Roman"/>
          <w:color w:val="000000"/>
          <w:sz w:val="32"/>
          <w:szCs w:val="32"/>
          <w:lang w:eastAsia="zh-CN"/>
        </w:rPr>
        <w:t>；</w:t>
      </w:r>
      <w:r>
        <w:rPr>
          <w:rFonts w:hint="eastAsia" w:ascii="Times New Roman" w:hAnsi="Times New Roman" w:eastAsia="仿宋_GB2312" w:cs="Times New Roman"/>
          <w:b/>
          <w:bCs/>
          <w:color w:val="000000"/>
          <w:sz w:val="32"/>
          <w:szCs w:val="32"/>
          <w:lang w:eastAsia="zh-CN"/>
        </w:rPr>
        <w:t>三是</w:t>
      </w:r>
      <w:r>
        <w:rPr>
          <w:rFonts w:hint="eastAsia" w:ascii="Times New Roman" w:hAnsi="Times New Roman" w:eastAsia="仿宋_GB2312" w:cs="Times New Roman"/>
          <w:color w:val="000000"/>
          <w:sz w:val="32"/>
          <w:szCs w:val="32"/>
          <w:lang w:eastAsia="zh-CN"/>
        </w:rPr>
        <w:t>明确从轻处罚因素，包括</w:t>
      </w:r>
      <w:r>
        <w:rPr>
          <w:rFonts w:hint="eastAsia" w:ascii="Times New Roman" w:hAnsi="Times New Roman" w:eastAsia="仿宋_GB2312" w:cs="仿宋_GB2312"/>
          <w:color w:val="000000"/>
          <w:sz w:val="32"/>
          <w:szCs w:val="32"/>
          <w:lang w:eastAsia="zh-CN"/>
        </w:rPr>
        <w:t>主动消除危害后果、受他人胁迫等情形</w:t>
      </w:r>
      <w:r>
        <w:rPr>
          <w:rFonts w:hint="default" w:ascii="Times New Roman" w:hAnsi="Times New Roman" w:eastAsia="仿宋_GB2312" w:cs="Times New Roman"/>
          <w:color w:val="000000" w:themeColor="text1"/>
          <w:sz w:val="32"/>
          <w:szCs w:val="32"/>
          <w:lang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94" w:lineRule="exact"/>
        <w:ind w:left="0" w:firstLine="640" w:firstLineChars="200"/>
        <w:jc w:val="both"/>
        <w:textAlignment w:val="auto"/>
        <w:rPr>
          <w:rFonts w:hint="eastAsia" w:ascii="Times New Roman" w:hAnsi="Times New Roman" w:eastAsia="仿宋_GB2312" w:cs="仿宋_GB2312"/>
          <w:b/>
          <w:bCs/>
          <w:color w:val="000000" w:themeColor="text1"/>
          <w:sz w:val="32"/>
          <w:szCs w:val="32"/>
          <w:lang w:bidi="ar"/>
          <w14:textFill>
            <w14:solidFill>
              <w14:schemeClr w14:val="tx1"/>
            </w14:solidFill>
          </w14:textFill>
        </w:rPr>
      </w:pPr>
      <w:r>
        <w:rPr>
          <w:rFonts w:hint="eastAsia" w:ascii="Times New Roman" w:hAnsi="Times New Roman" w:eastAsia="楷体" w:cs="楷体"/>
          <w:b w:val="0"/>
          <w:bCs w:val="0"/>
          <w:color w:val="000000" w:themeColor="text1"/>
          <w:sz w:val="32"/>
          <w:szCs w:val="32"/>
          <w:lang w:val="en-US" w:eastAsia="zh-CN"/>
          <w14:textFill>
            <w14:solidFill>
              <w14:schemeClr w14:val="tx1"/>
            </w14:solidFill>
          </w14:textFill>
        </w:rPr>
        <w:t>（四）</w:t>
      </w:r>
      <w:r>
        <w:rPr>
          <w:rFonts w:hint="default" w:ascii="Times New Roman" w:hAnsi="Times New Roman" w:eastAsia="楷体" w:cs="Times New Roman"/>
          <w:b w:val="0"/>
          <w:bCs w:val="0"/>
          <w:color w:val="000000" w:themeColor="text1"/>
          <w:sz w:val="32"/>
          <w:szCs w:val="32"/>
          <w:lang w:eastAsia="zh-CN"/>
          <w14:textFill>
            <w14:solidFill>
              <w14:schemeClr w14:val="tx1"/>
            </w14:solidFill>
          </w14:textFill>
        </w:rPr>
        <w:t>明</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确调查程序及其他规定（第</w:t>
      </w:r>
      <w:r>
        <w:rPr>
          <w:rFonts w:hint="eastAsia" w:ascii="Times New Roman" w:hAnsi="Times New Roman" w:eastAsia="楷体" w:cs="Times New Roman"/>
          <w:b w:val="0"/>
          <w:bCs w:val="0"/>
          <w:color w:val="000000" w:themeColor="text1"/>
          <w:sz w:val="32"/>
          <w:szCs w:val="32"/>
          <w:lang w:val="en-US" w:eastAsia="zh-CN"/>
          <w14:textFill>
            <w14:solidFill>
              <w14:schemeClr w14:val="tx1"/>
            </w14:solidFill>
          </w14:textFill>
        </w:rPr>
        <w:t>11条至第16条</w:t>
      </w:r>
      <w:r>
        <w:rPr>
          <w:rFonts w:hint="eastAsia" w:ascii="Times New Roman" w:hAnsi="Times New Roman" w:eastAsia="楷体" w:cs="Times New Roman"/>
          <w:b w:val="0"/>
          <w:bCs w:val="0"/>
          <w:color w:val="000000" w:themeColor="text1"/>
          <w:sz w:val="32"/>
          <w:szCs w:val="32"/>
          <w:lang w:eastAsia="zh-CN"/>
          <w14:textFill>
            <w14:solidFill>
              <w14:schemeClr w14:val="tx1"/>
            </w14:solidFill>
          </w14:textFill>
        </w:rPr>
        <w:t>）</w:t>
      </w:r>
      <w:r>
        <w:rPr>
          <w:rFonts w:hint="default" w:ascii="Times New Roman" w:hAnsi="Times New Roman" w:eastAsia="楷体" w:cs="Times New Roman"/>
          <w:b w:val="0"/>
          <w:bCs w:val="0"/>
          <w:color w:val="000000" w:themeColor="text1"/>
          <w:sz w:val="32"/>
          <w:szCs w:val="32"/>
          <w:lang w:eastAsia="zh-CN"/>
          <w14:textFill>
            <w14:solidFill>
              <w14:schemeClr w14:val="tx1"/>
            </w14:solidFill>
          </w14:textFill>
        </w:rPr>
        <w:t>。</w:t>
      </w:r>
      <w:r>
        <w:rPr>
          <w:rFonts w:hint="default" w:ascii="Times New Roman" w:hAnsi="Times New Roman" w:eastAsia="仿宋_GB2312" w:cs="Times New Roman"/>
          <w:color w:val="000000" w:themeColor="text1"/>
          <w:sz w:val="32"/>
          <w:szCs w:val="32"/>
          <w:lang w:val="en-US" w:eastAsia="zh-CN"/>
          <w14:textFill>
            <w14:solidFill>
              <w14:schemeClr w14:val="tx1"/>
            </w14:solidFill>
          </w14:textFill>
        </w:rPr>
        <w:t xml:space="preserve"> </w:t>
      </w:r>
      <w:r>
        <w:rPr>
          <w:rFonts w:hint="default" w:ascii="Times New Roman" w:hAnsi="Times New Roman" w:eastAsia="仿宋_GB2312" w:cs="Times New Roman"/>
          <w:b/>
          <w:bCs/>
          <w:color w:val="000000"/>
          <w:sz w:val="32"/>
          <w:szCs w:val="32"/>
          <w:lang w:eastAsia="zh-CN"/>
        </w:rPr>
        <w:t>一</w:t>
      </w:r>
      <w:r>
        <w:rPr>
          <w:rFonts w:hint="default" w:ascii="Times New Roman" w:hAnsi="Times New Roman" w:eastAsia="仿宋_GB2312" w:cs="Times New Roman"/>
          <w:b/>
          <w:bCs/>
          <w:color w:val="000000"/>
          <w:kern w:val="2"/>
          <w:sz w:val="32"/>
          <w:szCs w:val="32"/>
          <w:lang w:val="en-US" w:eastAsia="zh-CN" w:bidi="ar-SA"/>
        </w:rPr>
        <w:t>是</w:t>
      </w:r>
      <w:r>
        <w:rPr>
          <w:rFonts w:hint="eastAsia" w:ascii="Times New Roman" w:hAnsi="Times New Roman" w:eastAsia="仿宋_GB2312" w:cs="仿宋_GB2312"/>
          <w:color w:val="000000"/>
          <w:sz w:val="32"/>
          <w:szCs w:val="32"/>
          <w:lang w:val="en-US" w:eastAsia="zh-CN"/>
        </w:rPr>
        <w:t>明确执法机构在调查经营者</w:t>
      </w:r>
      <w:r>
        <w:rPr>
          <w:rFonts w:hint="eastAsia" w:ascii="Times New Roman" w:hAnsi="Times New Roman" w:eastAsia="仿宋_GB2312" w:cs="仿宋_GB2312"/>
          <w:color w:val="000000"/>
          <w:sz w:val="32"/>
          <w:szCs w:val="32"/>
          <w:lang w:eastAsia="zh-CN"/>
        </w:rPr>
        <w:t>垄断协议行为时，</w:t>
      </w:r>
      <w:r>
        <w:rPr>
          <w:rFonts w:hint="eastAsia" w:ascii="Times New Roman" w:hAnsi="Times New Roman" w:eastAsia="仿宋_GB2312" w:cs="仿宋_GB2312"/>
          <w:color w:val="000000"/>
          <w:sz w:val="32"/>
          <w:szCs w:val="32"/>
        </w:rPr>
        <w:t>对</w:t>
      </w:r>
      <w:r>
        <w:rPr>
          <w:rFonts w:hint="eastAsia" w:ascii="Times New Roman" w:hAnsi="Times New Roman" w:eastAsia="仿宋_GB2312" w:cs="Times New Roman"/>
          <w:color w:val="000000"/>
          <w:sz w:val="32"/>
          <w:szCs w:val="32"/>
          <w:lang w:eastAsia="zh-CN"/>
        </w:rPr>
        <w:t>负有责任的有关个人合并</w:t>
      </w:r>
      <w:r>
        <w:rPr>
          <w:rFonts w:hint="eastAsia" w:ascii="Times New Roman" w:hAnsi="Times New Roman" w:eastAsia="仿宋_GB2312" w:cs="仿宋_GB2312"/>
          <w:color w:val="000000"/>
          <w:sz w:val="32"/>
          <w:szCs w:val="32"/>
          <w:lang w:eastAsia="zh-CN"/>
        </w:rPr>
        <w:t>调查；</w:t>
      </w:r>
      <w:r>
        <w:rPr>
          <w:rFonts w:hint="eastAsia" w:ascii="Times New Roman" w:hAnsi="Times New Roman" w:eastAsia="仿宋_GB2312" w:cs="Times New Roman"/>
          <w:b/>
          <w:bCs/>
          <w:color w:val="000000"/>
          <w:kern w:val="2"/>
          <w:sz w:val="32"/>
          <w:szCs w:val="32"/>
          <w:lang w:val="en-US" w:eastAsia="zh-CN" w:bidi="ar-SA"/>
        </w:rPr>
        <w:t>二是</w:t>
      </w:r>
      <w:r>
        <w:rPr>
          <w:rFonts w:hint="eastAsia" w:ascii="Times New Roman" w:hAnsi="Times New Roman" w:eastAsia="仿宋_GB2312" w:cs="Times New Roman"/>
          <w:b w:val="0"/>
          <w:bCs w:val="0"/>
          <w:color w:val="000000"/>
          <w:kern w:val="2"/>
          <w:sz w:val="32"/>
          <w:szCs w:val="32"/>
          <w:lang w:val="en-US" w:eastAsia="zh-CN" w:bidi="ar-SA"/>
        </w:rPr>
        <w:t>明确对个人责任</w:t>
      </w:r>
      <w:r>
        <w:rPr>
          <w:rFonts w:hint="eastAsia" w:ascii="Times New Roman" w:hAnsi="Times New Roman" w:eastAsia="仿宋_GB2312" w:cs="Times New Roman"/>
          <w:color w:val="000000"/>
          <w:kern w:val="2"/>
          <w:sz w:val="32"/>
          <w:szCs w:val="32"/>
          <w:lang w:val="en-US" w:eastAsia="zh-CN" w:bidi="ar-SA"/>
        </w:rPr>
        <w:t>适用宽大制度的原则和要求</w:t>
      </w:r>
      <w:r>
        <w:rPr>
          <w:rFonts w:hint="default" w:ascii="Times New Roman" w:hAnsi="Times New Roman" w:eastAsia="仿宋_GB2312" w:cs="Times New Roman"/>
          <w:color w:val="000000"/>
          <w:kern w:val="2"/>
          <w:sz w:val="32"/>
          <w:szCs w:val="32"/>
          <w:lang w:val="en-US" w:eastAsia="zh-CN" w:bidi="ar-SA"/>
        </w:rPr>
        <w:t>；</w:t>
      </w:r>
      <w:r>
        <w:rPr>
          <w:rFonts w:hint="eastAsia" w:ascii="Times New Roman" w:hAnsi="Times New Roman" w:eastAsia="仿宋_GB2312" w:cs="Times New Roman"/>
          <w:b/>
          <w:bCs/>
          <w:color w:val="000000"/>
          <w:kern w:val="2"/>
          <w:sz w:val="32"/>
          <w:szCs w:val="32"/>
          <w:lang w:val="en-US" w:eastAsia="zh-CN" w:bidi="ar-SA"/>
        </w:rPr>
        <w:t>三是</w:t>
      </w:r>
      <w:r>
        <w:rPr>
          <w:rFonts w:hint="eastAsia" w:ascii="Times New Roman" w:hAnsi="Times New Roman" w:eastAsia="仿宋_GB2312" w:cs="Times New Roman"/>
          <w:color w:val="000000"/>
          <w:kern w:val="2"/>
          <w:sz w:val="32"/>
          <w:szCs w:val="32"/>
          <w:lang w:val="en-US" w:eastAsia="zh-CN" w:bidi="ar-SA"/>
        </w:rPr>
        <w:t>明确《指引》对组织、帮助</w:t>
      </w:r>
      <w:r>
        <w:rPr>
          <w:rFonts w:hint="eastAsia" w:ascii="Times New Roman" w:hAnsi="Times New Roman" w:eastAsia="仿宋_GB2312" w:cs="仿宋_GB2312"/>
          <w:color w:val="000000"/>
          <w:sz w:val="32"/>
          <w:szCs w:val="32"/>
        </w:rPr>
        <w:t>达成垄断协议</w:t>
      </w:r>
      <w:r>
        <w:rPr>
          <w:rFonts w:hint="eastAsia" w:ascii="Times New Roman" w:hAnsi="Times New Roman" w:eastAsia="仿宋_GB2312" w:cs="仿宋_GB2312"/>
          <w:color w:val="000000"/>
          <w:sz w:val="32"/>
          <w:szCs w:val="32"/>
          <w:lang w:eastAsia="zh-CN"/>
        </w:rPr>
        <w:t>行为的经营者相关个人同等适用</w:t>
      </w:r>
      <w:r>
        <w:rPr>
          <w:rFonts w:hint="eastAsia" w:ascii="Times New Roman" w:hAnsi="Times New Roman" w:eastAsia="仿宋_GB2312" w:cs="Times New Roman"/>
          <w:color w:val="000000"/>
          <w:kern w:val="2"/>
          <w:sz w:val="32"/>
          <w:szCs w:val="32"/>
          <w:lang w:val="en-US" w:eastAsia="zh-CN" w:bidi="ar-SA"/>
        </w:rPr>
        <w:t>；</w:t>
      </w:r>
      <w:r>
        <w:rPr>
          <w:rFonts w:hint="eastAsia" w:ascii="Times New Roman" w:hAnsi="Times New Roman" w:eastAsia="仿宋_GB2312"/>
          <w:b/>
          <w:bCs/>
          <w:color w:val="000000"/>
          <w:sz w:val="32"/>
          <w:szCs w:val="32"/>
          <w:lang w:eastAsia="zh-CN"/>
        </w:rPr>
        <w:t>四是</w:t>
      </w:r>
      <w:r>
        <w:rPr>
          <w:rFonts w:hint="eastAsia" w:ascii="Times New Roman" w:hAnsi="Times New Roman" w:eastAsia="仿宋_GB2312" w:cs="Times New Roman"/>
          <w:color w:val="000000"/>
          <w:kern w:val="2"/>
          <w:sz w:val="32"/>
          <w:szCs w:val="32"/>
          <w:lang w:val="en-US" w:eastAsia="zh-CN" w:bidi="ar-SA"/>
        </w:rPr>
        <w:t>指出</w:t>
      </w:r>
      <w:r>
        <w:rPr>
          <w:rFonts w:hint="eastAsia" w:ascii="Times New Roman" w:hAnsi="Times New Roman" w:eastAsia="仿宋_GB2312" w:cs="仿宋_GB2312"/>
          <w:color w:val="000000"/>
          <w:sz w:val="32"/>
          <w:szCs w:val="32"/>
        </w:rPr>
        <w:t>个人责任</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不因离职等情形而</w:t>
      </w:r>
      <w:r>
        <w:rPr>
          <w:rFonts w:hint="eastAsia" w:ascii="Times New Roman" w:hAnsi="Times New Roman" w:eastAsia="仿宋_GB2312" w:cs="仿宋_GB2312"/>
          <w:color w:val="000000"/>
          <w:sz w:val="32"/>
          <w:szCs w:val="32"/>
          <w:lang w:val="en-US" w:eastAsia="zh-CN"/>
        </w:rPr>
        <w:t>免除；</w:t>
      </w:r>
      <w:r>
        <w:rPr>
          <w:rFonts w:hint="eastAsia" w:ascii="Times New Roman" w:hAnsi="Times New Roman" w:eastAsia="仿宋_GB2312" w:cs="Times New Roman"/>
          <w:b/>
          <w:bCs/>
          <w:color w:val="000000"/>
          <w:sz w:val="32"/>
          <w:szCs w:val="32"/>
          <w:lang w:val="en-US" w:eastAsia="zh-CN"/>
        </w:rPr>
        <w:t>五是</w:t>
      </w:r>
      <w:r>
        <w:rPr>
          <w:rFonts w:hint="eastAsia" w:ascii="Times New Roman" w:hAnsi="Times New Roman" w:eastAsia="仿宋_GB2312" w:cs="仿宋_GB2312"/>
          <w:b w:val="0"/>
          <w:bCs w:val="0"/>
          <w:color w:val="000000"/>
          <w:sz w:val="32"/>
          <w:szCs w:val="32"/>
          <w:lang w:val="en-US" w:eastAsia="zh-CN"/>
        </w:rPr>
        <w:t>明确了</w:t>
      </w:r>
      <w:r>
        <w:rPr>
          <w:rFonts w:hint="eastAsia" w:ascii="Times New Roman" w:hAnsi="Times New Roman" w:eastAsia="仿宋_GB2312" w:cs="仿宋_GB2312"/>
          <w:color w:val="000000"/>
          <w:sz w:val="32"/>
          <w:szCs w:val="32"/>
          <w:lang w:val="en-US" w:eastAsia="zh-CN"/>
        </w:rPr>
        <w:t>《指引》的效力、解释和实施。</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方正书宋_GBK"/>
    <w:panose1 w:val="02010600030101010101"/>
    <w:charset w:val="0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等线">
    <w:altName w:val="汉仪中宋简"/>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
    <w:panose1 w:val="02010609060101010101"/>
    <w:charset w:val="86"/>
    <w:family w:val="auto"/>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汉仪中宋简">
    <w:panose1 w:val="02010600000101010101"/>
    <w:charset w:val="86"/>
    <w:family w:val="auto"/>
    <w:pitch w:val="default"/>
    <w:sig w:usb0="00000001" w:usb1="080E0800" w:usb2="00000002"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ED4D91"/>
    <w:multiLevelType w:val="singleLevel"/>
    <w:tmpl w:val="FBED4D9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Q2M2I5N2JmMmJmODA2NzI5OWFmY2NiMTRjNzkzMzYifQ=="/>
  </w:docVars>
  <w:rsids>
    <w:rsidRoot w:val="0026611D"/>
    <w:rsid w:val="000B5480"/>
    <w:rsid w:val="000D1BF2"/>
    <w:rsid w:val="001227CE"/>
    <w:rsid w:val="001766ED"/>
    <w:rsid w:val="00215464"/>
    <w:rsid w:val="00250311"/>
    <w:rsid w:val="00263EBE"/>
    <w:rsid w:val="0026611D"/>
    <w:rsid w:val="003075DC"/>
    <w:rsid w:val="00323256"/>
    <w:rsid w:val="00326C6E"/>
    <w:rsid w:val="003D4D01"/>
    <w:rsid w:val="003D559C"/>
    <w:rsid w:val="003E7643"/>
    <w:rsid w:val="00405CCA"/>
    <w:rsid w:val="004957C7"/>
    <w:rsid w:val="004C6146"/>
    <w:rsid w:val="004C679A"/>
    <w:rsid w:val="00556747"/>
    <w:rsid w:val="0061378E"/>
    <w:rsid w:val="00621DB9"/>
    <w:rsid w:val="00673818"/>
    <w:rsid w:val="00735C68"/>
    <w:rsid w:val="007943BA"/>
    <w:rsid w:val="00861A93"/>
    <w:rsid w:val="008678F1"/>
    <w:rsid w:val="00870359"/>
    <w:rsid w:val="008804B5"/>
    <w:rsid w:val="008A70C5"/>
    <w:rsid w:val="008B34E2"/>
    <w:rsid w:val="008C1752"/>
    <w:rsid w:val="008D7F2F"/>
    <w:rsid w:val="00911990"/>
    <w:rsid w:val="00931F0A"/>
    <w:rsid w:val="009A7B5B"/>
    <w:rsid w:val="009B607E"/>
    <w:rsid w:val="009D2939"/>
    <w:rsid w:val="00A64C22"/>
    <w:rsid w:val="00A75A43"/>
    <w:rsid w:val="00A80B40"/>
    <w:rsid w:val="00AC25C9"/>
    <w:rsid w:val="00AE0306"/>
    <w:rsid w:val="00B47A66"/>
    <w:rsid w:val="00B81472"/>
    <w:rsid w:val="00BA0C45"/>
    <w:rsid w:val="00C00032"/>
    <w:rsid w:val="00C24078"/>
    <w:rsid w:val="00C3164A"/>
    <w:rsid w:val="00C676B8"/>
    <w:rsid w:val="00CB0E55"/>
    <w:rsid w:val="00CF3909"/>
    <w:rsid w:val="00D31AE4"/>
    <w:rsid w:val="00DC4146"/>
    <w:rsid w:val="00DF7D15"/>
    <w:rsid w:val="00E3522C"/>
    <w:rsid w:val="00E7016F"/>
    <w:rsid w:val="00E90E20"/>
    <w:rsid w:val="00EB5D91"/>
    <w:rsid w:val="00ED55AB"/>
    <w:rsid w:val="00EE17C6"/>
    <w:rsid w:val="00F00F89"/>
    <w:rsid w:val="0126487B"/>
    <w:rsid w:val="01435D17"/>
    <w:rsid w:val="01ED3418"/>
    <w:rsid w:val="02161035"/>
    <w:rsid w:val="02540308"/>
    <w:rsid w:val="02934F64"/>
    <w:rsid w:val="02E41A65"/>
    <w:rsid w:val="036D6775"/>
    <w:rsid w:val="041C3321"/>
    <w:rsid w:val="045423EF"/>
    <w:rsid w:val="04675A50"/>
    <w:rsid w:val="04A3033D"/>
    <w:rsid w:val="056A5EC4"/>
    <w:rsid w:val="058B39C0"/>
    <w:rsid w:val="05F90B92"/>
    <w:rsid w:val="05F95283"/>
    <w:rsid w:val="060D7218"/>
    <w:rsid w:val="06C4690C"/>
    <w:rsid w:val="07243C0B"/>
    <w:rsid w:val="0749670E"/>
    <w:rsid w:val="07E66FD9"/>
    <w:rsid w:val="07F42BA4"/>
    <w:rsid w:val="08435C12"/>
    <w:rsid w:val="08C74D6A"/>
    <w:rsid w:val="096B4468"/>
    <w:rsid w:val="09833B0C"/>
    <w:rsid w:val="09DB52BD"/>
    <w:rsid w:val="0AD546F9"/>
    <w:rsid w:val="0AF5B2E4"/>
    <w:rsid w:val="0B033D4C"/>
    <w:rsid w:val="0B7357A1"/>
    <w:rsid w:val="0C731EB5"/>
    <w:rsid w:val="0C9D2956"/>
    <w:rsid w:val="0CBE4371"/>
    <w:rsid w:val="0D4B4F23"/>
    <w:rsid w:val="0D731909"/>
    <w:rsid w:val="0DBBEAD8"/>
    <w:rsid w:val="0E2D5254"/>
    <w:rsid w:val="0E7116E7"/>
    <w:rsid w:val="0F3D1472"/>
    <w:rsid w:val="0FB56CC6"/>
    <w:rsid w:val="0FB7E743"/>
    <w:rsid w:val="0FCBFD8B"/>
    <w:rsid w:val="0FDFC28B"/>
    <w:rsid w:val="10501A8E"/>
    <w:rsid w:val="116D39C3"/>
    <w:rsid w:val="124C5099"/>
    <w:rsid w:val="132A48DC"/>
    <w:rsid w:val="13C0298C"/>
    <w:rsid w:val="140F1FAE"/>
    <w:rsid w:val="14731255"/>
    <w:rsid w:val="15CD2D41"/>
    <w:rsid w:val="169409F5"/>
    <w:rsid w:val="16BD1CC3"/>
    <w:rsid w:val="16FCDF90"/>
    <w:rsid w:val="171A2C5B"/>
    <w:rsid w:val="176112F0"/>
    <w:rsid w:val="17FC5DE2"/>
    <w:rsid w:val="18E21F3D"/>
    <w:rsid w:val="19226D05"/>
    <w:rsid w:val="1983022F"/>
    <w:rsid w:val="199C70E1"/>
    <w:rsid w:val="1A002CFF"/>
    <w:rsid w:val="1A6840A3"/>
    <w:rsid w:val="1B3956C1"/>
    <w:rsid w:val="1B5EF4DA"/>
    <w:rsid w:val="1B6BA62F"/>
    <w:rsid w:val="1BB1126E"/>
    <w:rsid w:val="1CB87AB1"/>
    <w:rsid w:val="1CD313D7"/>
    <w:rsid w:val="1D273BA0"/>
    <w:rsid w:val="1D44705B"/>
    <w:rsid w:val="1D6B7DD8"/>
    <w:rsid w:val="1DAB29F9"/>
    <w:rsid w:val="1E114C23"/>
    <w:rsid w:val="1E6E5A79"/>
    <w:rsid w:val="1E7A1F35"/>
    <w:rsid w:val="1FFA55CE"/>
    <w:rsid w:val="204475DE"/>
    <w:rsid w:val="20CB477F"/>
    <w:rsid w:val="214B077B"/>
    <w:rsid w:val="21C909C1"/>
    <w:rsid w:val="21F30406"/>
    <w:rsid w:val="2220080D"/>
    <w:rsid w:val="22486691"/>
    <w:rsid w:val="224A02E4"/>
    <w:rsid w:val="22CC0661"/>
    <w:rsid w:val="22D81865"/>
    <w:rsid w:val="22DD4D34"/>
    <w:rsid w:val="231A32A7"/>
    <w:rsid w:val="23D00259"/>
    <w:rsid w:val="243B7983"/>
    <w:rsid w:val="24C31D91"/>
    <w:rsid w:val="24D451B5"/>
    <w:rsid w:val="24DA06A6"/>
    <w:rsid w:val="251247E7"/>
    <w:rsid w:val="25F64154"/>
    <w:rsid w:val="27456926"/>
    <w:rsid w:val="277E027A"/>
    <w:rsid w:val="27A99F40"/>
    <w:rsid w:val="27DB8A6D"/>
    <w:rsid w:val="2A7C7D42"/>
    <w:rsid w:val="2ACDB16D"/>
    <w:rsid w:val="2B24409A"/>
    <w:rsid w:val="2B4171DA"/>
    <w:rsid w:val="2B473D61"/>
    <w:rsid w:val="2B4871D0"/>
    <w:rsid w:val="2BF75E7C"/>
    <w:rsid w:val="2C5130BF"/>
    <w:rsid w:val="2DDB237E"/>
    <w:rsid w:val="2E2534CF"/>
    <w:rsid w:val="2EB740E7"/>
    <w:rsid w:val="2EB97E4A"/>
    <w:rsid w:val="2EC90D3B"/>
    <w:rsid w:val="2F3F77E8"/>
    <w:rsid w:val="2F40355D"/>
    <w:rsid w:val="2F8CE0DD"/>
    <w:rsid w:val="2FA143FE"/>
    <w:rsid w:val="2FB47C1E"/>
    <w:rsid w:val="30F47322"/>
    <w:rsid w:val="31A06954"/>
    <w:rsid w:val="329456C3"/>
    <w:rsid w:val="33B215E4"/>
    <w:rsid w:val="341B48B4"/>
    <w:rsid w:val="351309F2"/>
    <w:rsid w:val="35684865"/>
    <w:rsid w:val="36286CAE"/>
    <w:rsid w:val="3662B600"/>
    <w:rsid w:val="377E961B"/>
    <w:rsid w:val="37BF38B6"/>
    <w:rsid w:val="37EF0AD5"/>
    <w:rsid w:val="37FF7857"/>
    <w:rsid w:val="38A43726"/>
    <w:rsid w:val="38A67B9A"/>
    <w:rsid w:val="38C617E9"/>
    <w:rsid w:val="38DC6CCE"/>
    <w:rsid w:val="38F245D4"/>
    <w:rsid w:val="395B910C"/>
    <w:rsid w:val="398E3157"/>
    <w:rsid w:val="39C309A7"/>
    <w:rsid w:val="39EEC3F6"/>
    <w:rsid w:val="39F8277C"/>
    <w:rsid w:val="3A5C48F3"/>
    <w:rsid w:val="3A603E2F"/>
    <w:rsid w:val="3A6D1460"/>
    <w:rsid w:val="3A7E12C5"/>
    <w:rsid w:val="3AE34790"/>
    <w:rsid w:val="3AFEA45D"/>
    <w:rsid w:val="3BBC1FAD"/>
    <w:rsid w:val="3BEFA6DF"/>
    <w:rsid w:val="3C4F421B"/>
    <w:rsid w:val="3C741C2D"/>
    <w:rsid w:val="3C7F506C"/>
    <w:rsid w:val="3D560823"/>
    <w:rsid w:val="3DFE2CDF"/>
    <w:rsid w:val="3DFEAE08"/>
    <w:rsid w:val="3E585DFF"/>
    <w:rsid w:val="3EB8427E"/>
    <w:rsid w:val="3F3EA37A"/>
    <w:rsid w:val="3F697808"/>
    <w:rsid w:val="3F7E62C0"/>
    <w:rsid w:val="3FDD02E7"/>
    <w:rsid w:val="3FEF0D70"/>
    <w:rsid w:val="3FEF5F3B"/>
    <w:rsid w:val="3FFF1366"/>
    <w:rsid w:val="3FFF4A01"/>
    <w:rsid w:val="40BB47B7"/>
    <w:rsid w:val="413616DB"/>
    <w:rsid w:val="41833FB5"/>
    <w:rsid w:val="41BF10FB"/>
    <w:rsid w:val="41FC10A5"/>
    <w:rsid w:val="429B0717"/>
    <w:rsid w:val="42FA7159"/>
    <w:rsid w:val="435F0C02"/>
    <w:rsid w:val="437BC46A"/>
    <w:rsid w:val="44864B55"/>
    <w:rsid w:val="45865F86"/>
    <w:rsid w:val="462F17DE"/>
    <w:rsid w:val="467F3637"/>
    <w:rsid w:val="46C6535D"/>
    <w:rsid w:val="46C73B51"/>
    <w:rsid w:val="47B33DE4"/>
    <w:rsid w:val="48296EA9"/>
    <w:rsid w:val="48D01E66"/>
    <w:rsid w:val="48D37F89"/>
    <w:rsid w:val="48EA62AA"/>
    <w:rsid w:val="48EE5522"/>
    <w:rsid w:val="49736C5F"/>
    <w:rsid w:val="49972366"/>
    <w:rsid w:val="4A6D152A"/>
    <w:rsid w:val="4AA956FA"/>
    <w:rsid w:val="4BB1717C"/>
    <w:rsid w:val="4BBA6D66"/>
    <w:rsid w:val="4BC36D42"/>
    <w:rsid w:val="4BFFAF6B"/>
    <w:rsid w:val="4C013661"/>
    <w:rsid w:val="4C4A2614"/>
    <w:rsid w:val="4CE46EFD"/>
    <w:rsid w:val="4D0E4287"/>
    <w:rsid w:val="4ED45728"/>
    <w:rsid w:val="4EDFC902"/>
    <w:rsid w:val="4EE00E73"/>
    <w:rsid w:val="4EF9AA57"/>
    <w:rsid w:val="4F2637A9"/>
    <w:rsid w:val="4F5621A5"/>
    <w:rsid w:val="4F6B5F6E"/>
    <w:rsid w:val="4F980780"/>
    <w:rsid w:val="4FB54E8E"/>
    <w:rsid w:val="4FCE4205"/>
    <w:rsid w:val="4FDD443F"/>
    <w:rsid w:val="4FEF425B"/>
    <w:rsid w:val="4FF7C88D"/>
    <w:rsid w:val="4FFE80C8"/>
    <w:rsid w:val="50AB1CC2"/>
    <w:rsid w:val="51954F77"/>
    <w:rsid w:val="51A44F32"/>
    <w:rsid w:val="51F3343E"/>
    <w:rsid w:val="528173D1"/>
    <w:rsid w:val="531E5963"/>
    <w:rsid w:val="53ABCE3A"/>
    <w:rsid w:val="53FF8EA0"/>
    <w:rsid w:val="555D5855"/>
    <w:rsid w:val="55A44BFC"/>
    <w:rsid w:val="563D6891"/>
    <w:rsid w:val="565E4EC7"/>
    <w:rsid w:val="576359D1"/>
    <w:rsid w:val="577C8359"/>
    <w:rsid w:val="57D32355"/>
    <w:rsid w:val="57E1407F"/>
    <w:rsid w:val="57F54C12"/>
    <w:rsid w:val="57F7B486"/>
    <w:rsid w:val="58006EC2"/>
    <w:rsid w:val="581E5F41"/>
    <w:rsid w:val="58321718"/>
    <w:rsid w:val="58A02B51"/>
    <w:rsid w:val="58BD1B76"/>
    <w:rsid w:val="58D0202D"/>
    <w:rsid w:val="590B7137"/>
    <w:rsid w:val="591D5F95"/>
    <w:rsid w:val="592E2B29"/>
    <w:rsid w:val="595D225E"/>
    <w:rsid w:val="597F57E0"/>
    <w:rsid w:val="5A380D29"/>
    <w:rsid w:val="5AC44B23"/>
    <w:rsid w:val="5AF9565E"/>
    <w:rsid w:val="5BD99211"/>
    <w:rsid w:val="5C052CF9"/>
    <w:rsid w:val="5C0F7C01"/>
    <w:rsid w:val="5CC45E4A"/>
    <w:rsid w:val="5D0C2B14"/>
    <w:rsid w:val="5D3319C9"/>
    <w:rsid w:val="5D471128"/>
    <w:rsid w:val="5DC3F2E1"/>
    <w:rsid w:val="5DD84AC7"/>
    <w:rsid w:val="5E302179"/>
    <w:rsid w:val="5E4D26F6"/>
    <w:rsid w:val="5E6FDC6D"/>
    <w:rsid w:val="5EC30D75"/>
    <w:rsid w:val="5EDC7C61"/>
    <w:rsid w:val="5EEEA494"/>
    <w:rsid w:val="5F717ABA"/>
    <w:rsid w:val="5F7FEEC3"/>
    <w:rsid w:val="5FB2852E"/>
    <w:rsid w:val="5FB70DFE"/>
    <w:rsid w:val="5FFA1D56"/>
    <w:rsid w:val="5FFBF6DA"/>
    <w:rsid w:val="60AE172C"/>
    <w:rsid w:val="615C23AC"/>
    <w:rsid w:val="62026138"/>
    <w:rsid w:val="623954AB"/>
    <w:rsid w:val="63FFFA5B"/>
    <w:rsid w:val="6440533B"/>
    <w:rsid w:val="645D39F0"/>
    <w:rsid w:val="648570CD"/>
    <w:rsid w:val="64862525"/>
    <w:rsid w:val="64C574CA"/>
    <w:rsid w:val="64D20752"/>
    <w:rsid w:val="64F23FEB"/>
    <w:rsid w:val="655D44A4"/>
    <w:rsid w:val="663F39D8"/>
    <w:rsid w:val="66BB5D82"/>
    <w:rsid w:val="671C0A61"/>
    <w:rsid w:val="672D436D"/>
    <w:rsid w:val="67EB4F21"/>
    <w:rsid w:val="68273FF7"/>
    <w:rsid w:val="684F7A93"/>
    <w:rsid w:val="68FF7933"/>
    <w:rsid w:val="69164E4B"/>
    <w:rsid w:val="697CBBDE"/>
    <w:rsid w:val="698B6818"/>
    <w:rsid w:val="69EB74D9"/>
    <w:rsid w:val="6A1900E0"/>
    <w:rsid w:val="6A93182C"/>
    <w:rsid w:val="6B7F4C40"/>
    <w:rsid w:val="6BAC1589"/>
    <w:rsid w:val="6BC7335C"/>
    <w:rsid w:val="6BE7916E"/>
    <w:rsid w:val="6C2B055A"/>
    <w:rsid w:val="6CA976D1"/>
    <w:rsid w:val="6D433529"/>
    <w:rsid w:val="6DBFC62F"/>
    <w:rsid w:val="6E4D4779"/>
    <w:rsid w:val="6E922B12"/>
    <w:rsid w:val="6EBF18CA"/>
    <w:rsid w:val="6EEE53D1"/>
    <w:rsid w:val="6EFE6D4E"/>
    <w:rsid w:val="6F3B50B0"/>
    <w:rsid w:val="6F7D5FCD"/>
    <w:rsid w:val="6F9BC450"/>
    <w:rsid w:val="6FB70680"/>
    <w:rsid w:val="6FB9EBF6"/>
    <w:rsid w:val="6FFF97A1"/>
    <w:rsid w:val="70061D5F"/>
    <w:rsid w:val="706F5B39"/>
    <w:rsid w:val="712637DA"/>
    <w:rsid w:val="71781226"/>
    <w:rsid w:val="71F55265"/>
    <w:rsid w:val="720340C4"/>
    <w:rsid w:val="723C62EB"/>
    <w:rsid w:val="7329331A"/>
    <w:rsid w:val="734B1939"/>
    <w:rsid w:val="7381702B"/>
    <w:rsid w:val="73BB0A3D"/>
    <w:rsid w:val="740F0EC1"/>
    <w:rsid w:val="743A68FC"/>
    <w:rsid w:val="755E2B4B"/>
    <w:rsid w:val="75EE8E2E"/>
    <w:rsid w:val="75FD37D2"/>
    <w:rsid w:val="75FEF604"/>
    <w:rsid w:val="761B6B34"/>
    <w:rsid w:val="77277B70"/>
    <w:rsid w:val="77B27215"/>
    <w:rsid w:val="77CF9754"/>
    <w:rsid w:val="77DF45F2"/>
    <w:rsid w:val="77DF4E92"/>
    <w:rsid w:val="77FCE544"/>
    <w:rsid w:val="7833326F"/>
    <w:rsid w:val="78B143BF"/>
    <w:rsid w:val="78DB62C8"/>
    <w:rsid w:val="793E64E9"/>
    <w:rsid w:val="79C616F4"/>
    <w:rsid w:val="79F2FCD2"/>
    <w:rsid w:val="79F4C490"/>
    <w:rsid w:val="79FE0C57"/>
    <w:rsid w:val="7A7722C1"/>
    <w:rsid w:val="7A84605F"/>
    <w:rsid w:val="7AAD2A82"/>
    <w:rsid w:val="7AAF4D70"/>
    <w:rsid w:val="7AB6A0C6"/>
    <w:rsid w:val="7B72BF42"/>
    <w:rsid w:val="7B75A895"/>
    <w:rsid w:val="7B9833A2"/>
    <w:rsid w:val="7B9F8AA9"/>
    <w:rsid w:val="7BBF722C"/>
    <w:rsid w:val="7BCC7325"/>
    <w:rsid w:val="7BE1261F"/>
    <w:rsid w:val="7BF33A48"/>
    <w:rsid w:val="7BFF96D2"/>
    <w:rsid w:val="7BFF9A10"/>
    <w:rsid w:val="7BFFCFFE"/>
    <w:rsid w:val="7BFFEAE4"/>
    <w:rsid w:val="7C5CA5A1"/>
    <w:rsid w:val="7C5F2591"/>
    <w:rsid w:val="7C76AFA4"/>
    <w:rsid w:val="7D2F3F31"/>
    <w:rsid w:val="7D4F04F6"/>
    <w:rsid w:val="7D544F4A"/>
    <w:rsid w:val="7D852CA8"/>
    <w:rsid w:val="7DABAAB8"/>
    <w:rsid w:val="7DBD9F23"/>
    <w:rsid w:val="7DD69181"/>
    <w:rsid w:val="7DEB15EE"/>
    <w:rsid w:val="7DEBA215"/>
    <w:rsid w:val="7E2B1E0B"/>
    <w:rsid w:val="7E4E4AA7"/>
    <w:rsid w:val="7E7BCDEC"/>
    <w:rsid w:val="7E7ED608"/>
    <w:rsid w:val="7EB70668"/>
    <w:rsid w:val="7EBF3C49"/>
    <w:rsid w:val="7ED671BB"/>
    <w:rsid w:val="7EF76C78"/>
    <w:rsid w:val="7F3A105B"/>
    <w:rsid w:val="7F541533"/>
    <w:rsid w:val="7F6F8206"/>
    <w:rsid w:val="7F9E456C"/>
    <w:rsid w:val="7FA66FB3"/>
    <w:rsid w:val="7FA7B620"/>
    <w:rsid w:val="7FBF16A2"/>
    <w:rsid w:val="7FC5D672"/>
    <w:rsid w:val="7FD358C8"/>
    <w:rsid w:val="7FDE63E7"/>
    <w:rsid w:val="7FDFC21B"/>
    <w:rsid w:val="7FEA4DB2"/>
    <w:rsid w:val="7FF787FD"/>
    <w:rsid w:val="7FF7CF5E"/>
    <w:rsid w:val="7FFA7B85"/>
    <w:rsid w:val="7FFBE2FC"/>
    <w:rsid w:val="7FFE5876"/>
    <w:rsid w:val="7FFE88EA"/>
    <w:rsid w:val="7FFF4B75"/>
    <w:rsid w:val="7FFFA624"/>
    <w:rsid w:val="8DDF05E1"/>
    <w:rsid w:val="8F2B8C73"/>
    <w:rsid w:val="9FE741AA"/>
    <w:rsid w:val="9FEB7A88"/>
    <w:rsid w:val="9FFE40F3"/>
    <w:rsid w:val="A0F7C25C"/>
    <w:rsid w:val="A7F68747"/>
    <w:rsid w:val="A8AF62C1"/>
    <w:rsid w:val="B1DFA6DD"/>
    <w:rsid w:val="B7A9CAE1"/>
    <w:rsid w:val="B83F2F87"/>
    <w:rsid w:val="B9FBE02C"/>
    <w:rsid w:val="B9FF36D2"/>
    <w:rsid w:val="BB5D2BF5"/>
    <w:rsid w:val="BB6B0944"/>
    <w:rsid w:val="BBBD6DBC"/>
    <w:rsid w:val="BBEDFA54"/>
    <w:rsid w:val="BDB910CF"/>
    <w:rsid w:val="BDD27925"/>
    <w:rsid w:val="BE6E8839"/>
    <w:rsid w:val="BF5F232E"/>
    <w:rsid w:val="BF9E8297"/>
    <w:rsid w:val="BFBF37D4"/>
    <w:rsid w:val="BFDD197A"/>
    <w:rsid w:val="BFFBE804"/>
    <w:rsid w:val="BFFF37EA"/>
    <w:rsid w:val="BFFFE548"/>
    <w:rsid w:val="C50F0154"/>
    <w:rsid w:val="CDFF3E5F"/>
    <w:rsid w:val="D297170E"/>
    <w:rsid w:val="D3A7C9FD"/>
    <w:rsid w:val="D3DB5DBF"/>
    <w:rsid w:val="D3F5B1FA"/>
    <w:rsid w:val="D5B66899"/>
    <w:rsid w:val="D79DD937"/>
    <w:rsid w:val="D7E3AA7A"/>
    <w:rsid w:val="D7FABB06"/>
    <w:rsid w:val="D96D0019"/>
    <w:rsid w:val="D97F5AD9"/>
    <w:rsid w:val="D9BFE050"/>
    <w:rsid w:val="DACF3D52"/>
    <w:rsid w:val="DBE97111"/>
    <w:rsid w:val="DBFD1FAB"/>
    <w:rsid w:val="DF1B66AB"/>
    <w:rsid w:val="DFB769D3"/>
    <w:rsid w:val="DFFB9DF0"/>
    <w:rsid w:val="DFFFA618"/>
    <w:rsid w:val="DFFFCD1F"/>
    <w:rsid w:val="E3D70BF2"/>
    <w:rsid w:val="E5FD8DA0"/>
    <w:rsid w:val="E62DD0A9"/>
    <w:rsid w:val="E6FFA4CA"/>
    <w:rsid w:val="E76F4794"/>
    <w:rsid w:val="E7B6DB5B"/>
    <w:rsid w:val="E7C706E5"/>
    <w:rsid w:val="EB8D0E6E"/>
    <w:rsid w:val="EF6FA9B7"/>
    <w:rsid w:val="EF7F9263"/>
    <w:rsid w:val="EF85B589"/>
    <w:rsid w:val="EFB79C10"/>
    <w:rsid w:val="EFD951B3"/>
    <w:rsid w:val="EFEE56A5"/>
    <w:rsid w:val="F137BC7C"/>
    <w:rsid w:val="F2FD113B"/>
    <w:rsid w:val="F33D2714"/>
    <w:rsid w:val="F3CF6BB3"/>
    <w:rsid w:val="F3DFC719"/>
    <w:rsid w:val="F3F94E69"/>
    <w:rsid w:val="F4BEBE96"/>
    <w:rsid w:val="F5777015"/>
    <w:rsid w:val="F57D7A88"/>
    <w:rsid w:val="F6F5DD7B"/>
    <w:rsid w:val="F73B580B"/>
    <w:rsid w:val="F7A70F0B"/>
    <w:rsid w:val="F7EE34A1"/>
    <w:rsid w:val="F7EF4D8F"/>
    <w:rsid w:val="F7F5A0B4"/>
    <w:rsid w:val="F7F71D64"/>
    <w:rsid w:val="F7FB555D"/>
    <w:rsid w:val="F7FF1152"/>
    <w:rsid w:val="F7FF1202"/>
    <w:rsid w:val="F7FFAED1"/>
    <w:rsid w:val="F9335A88"/>
    <w:rsid w:val="F96E33FD"/>
    <w:rsid w:val="F9F72647"/>
    <w:rsid w:val="F9FFEE59"/>
    <w:rsid w:val="FB7F7413"/>
    <w:rsid w:val="FBBFB287"/>
    <w:rsid w:val="FBFB8466"/>
    <w:rsid w:val="FBFBE175"/>
    <w:rsid w:val="FBFE3A34"/>
    <w:rsid w:val="FC9FCCFA"/>
    <w:rsid w:val="FCEA0101"/>
    <w:rsid w:val="FCFF783F"/>
    <w:rsid w:val="FD56282C"/>
    <w:rsid w:val="FD7BD80A"/>
    <w:rsid w:val="FD95346E"/>
    <w:rsid w:val="FDDF902D"/>
    <w:rsid w:val="FDEF91A8"/>
    <w:rsid w:val="FE3FBDA8"/>
    <w:rsid w:val="FE7FD610"/>
    <w:rsid w:val="FE9D1308"/>
    <w:rsid w:val="FEE7C71F"/>
    <w:rsid w:val="FEEF2ECB"/>
    <w:rsid w:val="FEFB65B3"/>
    <w:rsid w:val="FF1F4DCF"/>
    <w:rsid w:val="FF5D8283"/>
    <w:rsid w:val="FF690BDF"/>
    <w:rsid w:val="FF6B800B"/>
    <w:rsid w:val="FF798F89"/>
    <w:rsid w:val="FF7D495D"/>
    <w:rsid w:val="FF9D397E"/>
    <w:rsid w:val="FF9FDC99"/>
    <w:rsid w:val="FFBD6D1F"/>
    <w:rsid w:val="FFC07B6D"/>
    <w:rsid w:val="FFCFBFCF"/>
    <w:rsid w:val="FFEB8970"/>
    <w:rsid w:val="FFEEEB0E"/>
    <w:rsid w:val="FFEF56E6"/>
    <w:rsid w:val="FFEF5AA0"/>
    <w:rsid w:val="FFF9DD7C"/>
    <w:rsid w:val="FFFD6ACD"/>
    <w:rsid w:val="FFFD79EC"/>
    <w:rsid w:val="FFFF8A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iPriority="99" w:name="footnote text"/>
    <w:lsdException w:qFormat="1"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1"/>
      <w:lang w:val="en-US" w:eastAsia="zh-CN" w:bidi="ar-SA"/>
    </w:rPr>
  </w:style>
  <w:style w:type="paragraph" w:styleId="3">
    <w:name w:val="heading 1"/>
    <w:basedOn w:val="1"/>
    <w:next w:val="1"/>
    <w:qFormat/>
    <w:uiPriority w:val="9"/>
    <w:pPr>
      <w:spacing w:beforeAutospacing="1" w:afterAutospacing="1"/>
      <w:jc w:val="left"/>
      <w:outlineLvl w:val="0"/>
    </w:pPr>
    <w:rPr>
      <w:rFonts w:hint="eastAsia" w:ascii="宋体" w:hAnsi="宋体" w:eastAsia="宋体"/>
      <w:b/>
      <w:bCs/>
      <w:kern w:val="44"/>
      <w:sz w:val="48"/>
      <w:szCs w:val="48"/>
    </w:rPr>
  </w:style>
  <w:style w:type="paragraph" w:styleId="4">
    <w:name w:val="heading 3"/>
    <w:basedOn w:val="1"/>
    <w:next w:val="1"/>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customStyle="1" w:styleId="2">
    <w:name w:val="样式1"/>
    <w:basedOn w:val="1"/>
    <w:qFormat/>
    <w:uiPriority w:val="0"/>
    <w:pPr>
      <w:ind w:firstLine="602" w:firstLineChars="200"/>
    </w:pPr>
    <w:rPr>
      <w:rFonts w:ascii="仿宋" w:hAnsi="仿宋" w:eastAsia="仿宋"/>
      <w:sz w:val="30"/>
      <w:szCs w:val="30"/>
    </w:rPr>
  </w:style>
  <w:style w:type="paragraph" w:styleId="5">
    <w:name w:val="Normal Indent"/>
    <w:basedOn w:val="1"/>
    <w:qFormat/>
    <w:uiPriority w:val="0"/>
    <w:pPr>
      <w:spacing w:line="360" w:lineRule="exact"/>
      <w:ind w:firstLine="420" w:firstLineChars="200"/>
    </w:pPr>
    <w:rPr>
      <w:szCs w:val="20"/>
    </w:rPr>
  </w:style>
  <w:style w:type="paragraph" w:styleId="6">
    <w:name w:val="annotation text"/>
    <w:basedOn w:val="1"/>
    <w:semiHidden/>
    <w:unhideWhenUsed/>
    <w:qFormat/>
    <w:uiPriority w:val="99"/>
    <w:pPr>
      <w:jc w:val="left"/>
    </w:pPr>
  </w:style>
  <w:style w:type="paragraph" w:styleId="7">
    <w:name w:val="Body Text"/>
    <w:basedOn w:val="1"/>
    <w:unhideWhenUsed/>
    <w:qFormat/>
    <w:uiPriority w:val="99"/>
    <w:pPr>
      <w:spacing w:afterLines="0" w:afterAutospacing="0"/>
    </w:pPr>
  </w:style>
  <w:style w:type="paragraph" w:styleId="8">
    <w:name w:val="Plain Text"/>
    <w:basedOn w:val="1"/>
    <w:qFormat/>
    <w:uiPriority w:val="99"/>
    <w:pPr>
      <w:widowControl w:val="0"/>
      <w:overflowPunct w:val="0"/>
      <w:topLinePunct/>
      <w:spacing w:line="240" w:lineRule="auto"/>
      <w:jc w:val="both"/>
    </w:pPr>
    <w:rPr>
      <w:rFonts w:ascii="宋体" w:hAnsi="Courier New" w:eastAsia="仿宋_GB2312" w:cs="宋体"/>
      <w:spacing w:val="0"/>
      <w:kern w:val="2"/>
      <w:sz w:val="21"/>
      <w:szCs w:val="21"/>
      <w:lang w:val="en-US" w:eastAsia="zh-CN" w:bidi="ar-SA"/>
    </w:rPr>
  </w:style>
  <w:style w:type="paragraph" w:styleId="9">
    <w:name w:val="Balloon Text"/>
    <w:basedOn w:val="1"/>
    <w:link w:val="23"/>
    <w:semiHidden/>
    <w:unhideWhenUsed/>
    <w:qFormat/>
    <w:uiPriority w:val="99"/>
    <w:rPr>
      <w:sz w:val="18"/>
      <w:szCs w:val="18"/>
    </w:rPr>
  </w:style>
  <w:style w:type="paragraph" w:styleId="10">
    <w:name w:val="footer"/>
    <w:basedOn w:val="1"/>
    <w:semiHidden/>
    <w:unhideWhenUsed/>
    <w:qFormat/>
    <w:uiPriority w:val="99"/>
    <w:pPr>
      <w:tabs>
        <w:tab w:val="center" w:pos="4153"/>
        <w:tab w:val="right" w:pos="8306"/>
      </w:tabs>
      <w:snapToGrid w:val="0"/>
      <w:jc w:val="left"/>
    </w:pPr>
    <w:rPr>
      <w:sz w:val="18"/>
    </w:rPr>
  </w:style>
  <w:style w:type="paragraph" w:styleId="11">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footnote text"/>
    <w:basedOn w:val="1"/>
    <w:semiHidden/>
    <w:unhideWhenUsed/>
    <w:qFormat/>
    <w:uiPriority w:val="99"/>
    <w:pPr>
      <w:snapToGrid w:val="0"/>
      <w:jc w:val="left"/>
    </w:pPr>
    <w:rPr>
      <w:sz w:val="18"/>
    </w:rPr>
  </w:style>
  <w:style w:type="paragraph" w:styleId="13">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4">
    <w:name w:val="Normal (Web)"/>
    <w:basedOn w:val="1"/>
    <w:semiHidden/>
    <w:unhideWhenUsed/>
    <w:qFormat/>
    <w:uiPriority w:val="99"/>
    <w:pPr>
      <w:spacing w:beforeAutospacing="1" w:afterAutospacing="1"/>
      <w:jc w:val="left"/>
    </w:pPr>
    <w:rPr>
      <w:kern w:val="0"/>
      <w:sz w:val="24"/>
    </w:rPr>
  </w:style>
  <w:style w:type="table" w:styleId="16">
    <w:name w:val="Table Grid"/>
    <w:basedOn w:val="1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rPr>
  </w:style>
  <w:style w:type="character" w:styleId="19">
    <w:name w:val="footnote reference"/>
    <w:basedOn w:val="17"/>
    <w:unhideWhenUsed/>
    <w:qFormat/>
    <w:uiPriority w:val="99"/>
    <w:rPr>
      <w:vertAlign w:val="superscript"/>
    </w:rPr>
  </w:style>
  <w:style w:type="paragraph" w:customStyle="1" w:styleId="20">
    <w:name w:val="列表段落1"/>
    <w:basedOn w:val="1"/>
    <w:qFormat/>
    <w:uiPriority w:val="0"/>
    <w:pPr>
      <w:ind w:firstLine="420" w:firstLineChars="200"/>
    </w:pPr>
  </w:style>
  <w:style w:type="character" w:customStyle="1" w:styleId="21">
    <w:name w:val="ediassetstextcon"/>
    <w:basedOn w:val="17"/>
    <w:qFormat/>
    <w:uiPriority w:val="0"/>
  </w:style>
  <w:style w:type="paragraph" w:customStyle="1" w:styleId="22">
    <w:name w:val="ql-align-justify"/>
    <w:basedOn w:val="1"/>
    <w:qFormat/>
    <w:uiPriority w:val="0"/>
    <w:pPr>
      <w:widowControl/>
      <w:spacing w:before="100" w:beforeAutospacing="1" w:after="100" w:afterAutospacing="1"/>
      <w:jc w:val="left"/>
    </w:pPr>
    <w:rPr>
      <w:rFonts w:ascii="宋体" w:hAnsi="宋体" w:eastAsia="宋体" w:cs="宋体"/>
      <w:kern w:val="0"/>
      <w:szCs w:val="24"/>
    </w:rPr>
  </w:style>
  <w:style w:type="character" w:customStyle="1" w:styleId="23">
    <w:name w:val="批注框文本 字符"/>
    <w:basedOn w:val="17"/>
    <w:link w:val="9"/>
    <w:semiHidden/>
    <w:qFormat/>
    <w:uiPriority w:val="99"/>
    <w:rPr>
      <w:rFonts w:ascii="等线" w:hAnsi="等线" w:eastAsia="等线"/>
      <w:kern w:val="2"/>
      <w:sz w:val="18"/>
      <w:szCs w:val="18"/>
    </w:rPr>
  </w:style>
  <w:style w:type="paragraph" w:styleId="2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2599</Words>
  <Characters>14820</Characters>
  <Lines>123</Lines>
  <Paragraphs>34</Paragraphs>
  <TotalTime>2</TotalTime>
  <ScaleCrop>false</ScaleCrop>
  <LinksUpToDate>false</LinksUpToDate>
  <CharactersWithSpaces>17385</CharactersWithSpaces>
  <Application>WPS Office_11.8.2.10552_F1E327BC-269C-435d-A152-05C5408002CA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2022-08-23T04:37:00Z</dcterms:created>
  <dc:creator>Wang Huiqun</dc:creator>
  <cp:lastModifiedBy>greatwall</cp:lastModifiedBy>
  <cp:lastPrinted>2026-08-20T12:14:08Z</cp:lastPrinted>
  <dcterms:modified xsi:type="dcterms:W3CDTF">2026-08-20T14:09:15Z</dcterms:modified>
  <cp:revision>40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2052-11.8.2.10552</vt:lpwstr>
  </property>
  <property fmtid="{D5CDD505-2E9C-101B-9397-08002B2CF9AE}" pid="3" name="ICV">
    <vt:lpwstr>CD8364A2412046149D9422B977842427</vt:lpwstr>
  </property>
</Properties>
</file>