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F5CC2">
      <w:pPr>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泉州市市场监督管理局2026年</w:t>
      </w:r>
    </w:p>
    <w:p w14:paraId="7EA4C1AA">
      <w:pPr>
        <w:jc w:val="center"/>
        <w:rPr>
          <w:rFonts w:hint="eastAsia" w:ascii="方正小标宋简体" w:hAnsi="仿宋" w:eastAsia="方正小标宋简体" w:cs="方正仿宋简体"/>
          <w:color w:val="000000"/>
          <w:sz w:val="32"/>
          <w:szCs w:val="32"/>
        </w:rPr>
      </w:pPr>
      <w:bookmarkStart w:id="0" w:name="_GoBack"/>
      <w:bookmarkEnd w:id="0"/>
      <w:r>
        <w:rPr>
          <w:rFonts w:hint="eastAsia" w:ascii="方正小标宋简体" w:hAnsi="仿宋" w:eastAsia="方正小标宋简体" w:cs="方正仿宋简体"/>
          <w:color w:val="000000"/>
          <w:sz w:val="32"/>
          <w:szCs w:val="32"/>
        </w:rPr>
        <w:t>电动自行车用锂离子蓄电池产品质量监督抽查实施细则</w:t>
      </w:r>
    </w:p>
    <w:p w14:paraId="3D847DED">
      <w:pPr>
        <w:jc w:val="right"/>
        <w:rPr>
          <w:rFonts w:hint="eastAsia" w:ascii="黑体" w:hAnsi="黑体" w:eastAsia="黑体"/>
          <w:sz w:val="24"/>
          <w:u w:val="single"/>
        </w:rPr>
      </w:pPr>
    </w:p>
    <w:p w14:paraId="57EC448A">
      <w:pPr>
        <w:snapToGrid w:val="0"/>
        <w:spacing w:line="440" w:lineRule="exact"/>
        <w:rPr>
          <w:rFonts w:eastAsia="黑体"/>
          <w:color w:val="000000"/>
          <w:szCs w:val="21"/>
        </w:rPr>
      </w:pPr>
      <w:r>
        <w:rPr>
          <w:rFonts w:eastAsia="黑体"/>
          <w:color w:val="000000"/>
          <w:szCs w:val="21"/>
        </w:rPr>
        <w:t xml:space="preserve">1 </w:t>
      </w:r>
      <w:r>
        <w:rPr>
          <w:rFonts w:hint="eastAsia" w:eastAsia="黑体"/>
          <w:color w:val="000000"/>
          <w:szCs w:val="21"/>
        </w:rPr>
        <w:t>抽样方法</w:t>
      </w:r>
    </w:p>
    <w:p w14:paraId="1E0E4DCF">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5CBB25A">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14:paraId="1285EA5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67C7FB9">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6"/>
        <w:tblW w:w="48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84"/>
        <w:gridCol w:w="3772"/>
        <w:gridCol w:w="1508"/>
        <w:gridCol w:w="1508"/>
        <w:gridCol w:w="1508"/>
      </w:tblGrid>
      <w:tr w14:paraId="12BEF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5" w:hRule="atLeast"/>
          <w:jc w:val="center"/>
        </w:trPr>
        <w:tc>
          <w:tcPr>
            <w:tcW w:w="329" w:type="pct"/>
            <w:tcBorders>
              <w:top w:val="single" w:color="auto" w:sz="4" w:space="0"/>
              <w:left w:val="single" w:color="auto" w:sz="4" w:space="0"/>
              <w:bottom w:val="single" w:color="auto" w:sz="4" w:space="0"/>
              <w:right w:val="single" w:color="auto" w:sz="4" w:space="0"/>
            </w:tcBorders>
            <w:vAlign w:val="center"/>
          </w:tcPr>
          <w:p w14:paraId="613CADCD">
            <w:pPr>
              <w:snapToGrid w:val="0"/>
              <w:spacing w:line="300" w:lineRule="exact"/>
              <w:jc w:val="center"/>
              <w:rPr>
                <w:rFonts w:hint="eastAsia"/>
                <w:color w:val="000000"/>
                <w:szCs w:val="21"/>
              </w:rPr>
            </w:pPr>
            <w:r>
              <w:rPr>
                <w:rFonts w:hint="eastAsia"/>
                <w:color w:val="000000"/>
                <w:szCs w:val="21"/>
              </w:rPr>
              <w:t>序号</w:t>
            </w:r>
          </w:p>
        </w:tc>
        <w:tc>
          <w:tcPr>
            <w:tcW w:w="2124" w:type="pct"/>
            <w:tcBorders>
              <w:top w:val="single" w:color="auto" w:sz="4" w:space="0"/>
              <w:left w:val="single" w:color="auto" w:sz="4" w:space="0"/>
              <w:bottom w:val="single" w:color="auto" w:sz="4" w:space="0"/>
              <w:right w:val="single" w:color="auto" w:sz="4" w:space="0"/>
            </w:tcBorders>
            <w:vAlign w:val="center"/>
          </w:tcPr>
          <w:p w14:paraId="6FE48A41">
            <w:pPr>
              <w:snapToGrid w:val="0"/>
              <w:spacing w:line="300" w:lineRule="exact"/>
              <w:jc w:val="center"/>
              <w:rPr>
                <w:color w:val="000000"/>
                <w:szCs w:val="21"/>
              </w:rPr>
            </w:pPr>
            <w:r>
              <w:rPr>
                <w:rFonts w:hint="eastAsia"/>
                <w:color w:val="000000"/>
                <w:szCs w:val="21"/>
              </w:rPr>
              <w:t>产品种类</w:t>
            </w:r>
          </w:p>
        </w:tc>
        <w:tc>
          <w:tcPr>
            <w:tcW w:w="849" w:type="pct"/>
            <w:tcBorders>
              <w:top w:val="single" w:color="auto" w:sz="4" w:space="0"/>
              <w:left w:val="single" w:color="auto" w:sz="4" w:space="0"/>
              <w:bottom w:val="single" w:color="auto" w:sz="4" w:space="0"/>
              <w:right w:val="single" w:color="auto" w:sz="4" w:space="0"/>
            </w:tcBorders>
            <w:vAlign w:val="center"/>
          </w:tcPr>
          <w:p w14:paraId="2D98D853">
            <w:pPr>
              <w:snapToGrid w:val="0"/>
              <w:spacing w:line="300" w:lineRule="exact"/>
              <w:jc w:val="center"/>
              <w:rPr>
                <w:color w:val="000000"/>
                <w:szCs w:val="21"/>
              </w:rPr>
            </w:pPr>
            <w:r>
              <w:rPr>
                <w:rFonts w:hint="eastAsia"/>
                <w:color w:val="000000"/>
                <w:szCs w:val="21"/>
              </w:rPr>
              <w:t>抽样数量</w:t>
            </w:r>
          </w:p>
        </w:tc>
        <w:tc>
          <w:tcPr>
            <w:tcW w:w="849" w:type="pct"/>
            <w:tcBorders>
              <w:top w:val="single" w:color="auto" w:sz="4" w:space="0"/>
              <w:left w:val="single" w:color="auto" w:sz="4" w:space="0"/>
              <w:bottom w:val="single" w:color="auto" w:sz="4" w:space="0"/>
              <w:right w:val="single" w:color="auto" w:sz="4" w:space="0"/>
            </w:tcBorders>
            <w:vAlign w:val="center"/>
          </w:tcPr>
          <w:p w14:paraId="5BAFB39B">
            <w:pPr>
              <w:snapToGrid w:val="0"/>
              <w:spacing w:line="300" w:lineRule="exact"/>
              <w:jc w:val="center"/>
              <w:rPr>
                <w:color w:val="000000"/>
                <w:szCs w:val="21"/>
              </w:rPr>
            </w:pPr>
            <w:r>
              <w:rPr>
                <w:rFonts w:hint="eastAsia"/>
                <w:color w:val="000000"/>
                <w:szCs w:val="21"/>
              </w:rPr>
              <w:t>检验样品数量</w:t>
            </w:r>
          </w:p>
        </w:tc>
        <w:tc>
          <w:tcPr>
            <w:tcW w:w="849" w:type="pct"/>
            <w:tcBorders>
              <w:top w:val="single" w:color="auto" w:sz="4" w:space="0"/>
              <w:left w:val="single" w:color="auto" w:sz="4" w:space="0"/>
              <w:bottom w:val="single" w:color="auto" w:sz="4" w:space="0"/>
              <w:right w:val="single" w:color="auto" w:sz="4" w:space="0"/>
            </w:tcBorders>
            <w:vAlign w:val="center"/>
          </w:tcPr>
          <w:p w14:paraId="7E8A17C6">
            <w:pPr>
              <w:snapToGrid w:val="0"/>
              <w:spacing w:line="300" w:lineRule="exact"/>
              <w:jc w:val="center"/>
              <w:rPr>
                <w:color w:val="000000"/>
                <w:szCs w:val="21"/>
              </w:rPr>
            </w:pPr>
            <w:r>
              <w:rPr>
                <w:rFonts w:hint="eastAsia"/>
                <w:color w:val="000000"/>
                <w:szCs w:val="21"/>
              </w:rPr>
              <w:t>备用样品数量</w:t>
            </w:r>
          </w:p>
        </w:tc>
      </w:tr>
      <w:tr w14:paraId="1646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5" w:hRule="atLeast"/>
          <w:jc w:val="center"/>
        </w:trPr>
        <w:tc>
          <w:tcPr>
            <w:tcW w:w="329" w:type="pct"/>
            <w:tcBorders>
              <w:top w:val="single" w:color="auto" w:sz="4" w:space="0"/>
              <w:left w:val="single" w:color="auto" w:sz="4" w:space="0"/>
              <w:bottom w:val="single" w:color="auto" w:sz="4" w:space="0"/>
              <w:right w:val="single" w:color="auto" w:sz="4" w:space="0"/>
            </w:tcBorders>
            <w:vAlign w:val="center"/>
          </w:tcPr>
          <w:p w14:paraId="46C44293">
            <w:pPr>
              <w:snapToGrid w:val="0"/>
              <w:spacing w:line="300" w:lineRule="exact"/>
              <w:jc w:val="center"/>
              <w:rPr>
                <w:color w:val="000000"/>
                <w:szCs w:val="21"/>
              </w:rPr>
            </w:pPr>
            <w:r>
              <w:rPr>
                <w:rFonts w:hint="eastAsia"/>
                <w:color w:val="000000"/>
                <w:szCs w:val="21"/>
              </w:rPr>
              <w:t>1</w:t>
            </w:r>
          </w:p>
        </w:tc>
        <w:tc>
          <w:tcPr>
            <w:tcW w:w="2124" w:type="pct"/>
            <w:tcBorders>
              <w:top w:val="single" w:color="auto" w:sz="4" w:space="0"/>
              <w:left w:val="single" w:color="auto" w:sz="4" w:space="0"/>
              <w:bottom w:val="single" w:color="auto" w:sz="4" w:space="0"/>
              <w:right w:val="single" w:color="auto" w:sz="4" w:space="0"/>
            </w:tcBorders>
            <w:vAlign w:val="center"/>
          </w:tcPr>
          <w:p w14:paraId="723AE1C2">
            <w:pPr>
              <w:spacing w:line="300" w:lineRule="exact"/>
              <w:jc w:val="center"/>
              <w:rPr>
                <w:color w:val="000000"/>
                <w:szCs w:val="21"/>
              </w:rPr>
            </w:pPr>
            <w:r>
              <w:rPr>
                <w:rFonts w:hint="eastAsia"/>
                <w:color w:val="000000"/>
                <w:szCs w:val="21"/>
              </w:rPr>
              <w:t>电动自行车用锂离子蓄电池</w:t>
            </w:r>
          </w:p>
        </w:tc>
        <w:tc>
          <w:tcPr>
            <w:tcW w:w="849" w:type="pct"/>
            <w:tcBorders>
              <w:top w:val="single" w:color="auto" w:sz="4" w:space="0"/>
              <w:left w:val="single" w:color="auto" w:sz="4" w:space="0"/>
              <w:bottom w:val="single" w:color="auto" w:sz="4" w:space="0"/>
              <w:right w:val="single" w:color="auto" w:sz="4" w:space="0"/>
            </w:tcBorders>
            <w:vAlign w:val="center"/>
          </w:tcPr>
          <w:p w14:paraId="57F3BFF1">
            <w:pPr>
              <w:spacing w:line="300" w:lineRule="exact"/>
              <w:jc w:val="center"/>
              <w:rPr>
                <w:color w:val="000000"/>
                <w:szCs w:val="21"/>
              </w:rPr>
            </w:pPr>
            <w:r>
              <w:rPr>
                <w:color w:val="000000"/>
                <w:szCs w:val="21"/>
              </w:rPr>
              <w:t>6</w:t>
            </w:r>
            <w:r>
              <w:rPr>
                <w:rFonts w:hint="eastAsia"/>
                <w:color w:val="000000"/>
                <w:szCs w:val="21"/>
              </w:rPr>
              <w:t>组</w:t>
            </w:r>
          </w:p>
        </w:tc>
        <w:tc>
          <w:tcPr>
            <w:tcW w:w="849" w:type="pct"/>
            <w:tcBorders>
              <w:top w:val="single" w:color="auto" w:sz="4" w:space="0"/>
              <w:left w:val="single" w:color="auto" w:sz="4" w:space="0"/>
              <w:bottom w:val="single" w:color="auto" w:sz="4" w:space="0"/>
              <w:right w:val="single" w:color="auto" w:sz="4" w:space="0"/>
            </w:tcBorders>
            <w:vAlign w:val="center"/>
          </w:tcPr>
          <w:p w14:paraId="3D17731E">
            <w:pPr>
              <w:spacing w:line="300" w:lineRule="exact"/>
              <w:jc w:val="center"/>
              <w:rPr>
                <w:color w:val="000000"/>
                <w:szCs w:val="21"/>
              </w:rPr>
            </w:pPr>
            <w:r>
              <w:rPr>
                <w:color w:val="000000"/>
                <w:szCs w:val="21"/>
              </w:rPr>
              <w:t>3</w:t>
            </w:r>
            <w:r>
              <w:rPr>
                <w:rFonts w:hint="eastAsia"/>
                <w:color w:val="000000"/>
                <w:szCs w:val="21"/>
              </w:rPr>
              <w:t>组</w:t>
            </w:r>
          </w:p>
        </w:tc>
        <w:tc>
          <w:tcPr>
            <w:tcW w:w="849" w:type="pct"/>
            <w:tcBorders>
              <w:top w:val="single" w:color="auto" w:sz="4" w:space="0"/>
              <w:left w:val="single" w:color="auto" w:sz="4" w:space="0"/>
              <w:bottom w:val="single" w:color="auto" w:sz="4" w:space="0"/>
              <w:right w:val="single" w:color="auto" w:sz="4" w:space="0"/>
            </w:tcBorders>
            <w:vAlign w:val="center"/>
          </w:tcPr>
          <w:p w14:paraId="47A81553">
            <w:pPr>
              <w:spacing w:line="300" w:lineRule="exact"/>
              <w:jc w:val="center"/>
              <w:rPr>
                <w:color w:val="000000"/>
                <w:szCs w:val="21"/>
              </w:rPr>
            </w:pPr>
            <w:r>
              <w:rPr>
                <w:color w:val="000000"/>
                <w:szCs w:val="21"/>
              </w:rPr>
              <w:t>3</w:t>
            </w:r>
            <w:r>
              <w:rPr>
                <w:rFonts w:hint="eastAsia"/>
                <w:color w:val="000000"/>
                <w:szCs w:val="21"/>
              </w:rPr>
              <w:t>组</w:t>
            </w:r>
          </w:p>
        </w:tc>
      </w:tr>
    </w:tbl>
    <w:p w14:paraId="370B8278">
      <w:pPr>
        <w:snapToGrid w:val="0"/>
        <w:spacing w:line="440" w:lineRule="exact"/>
        <w:rPr>
          <w:color w:val="000000"/>
          <w:szCs w:val="21"/>
        </w:rPr>
      </w:pPr>
    </w:p>
    <w:p w14:paraId="4F98F61B">
      <w:pPr>
        <w:snapToGrid w:val="0"/>
        <w:spacing w:line="440" w:lineRule="exact"/>
        <w:rPr>
          <w:rFonts w:eastAsia="黑体"/>
          <w:color w:val="000000"/>
          <w:szCs w:val="21"/>
        </w:rPr>
      </w:pPr>
      <w:r>
        <w:rPr>
          <w:rFonts w:eastAsia="黑体"/>
          <w:color w:val="000000"/>
          <w:szCs w:val="21"/>
        </w:rPr>
        <w:t xml:space="preserve">2 </w:t>
      </w:r>
      <w:r>
        <w:rPr>
          <w:rFonts w:hint="eastAsia" w:eastAsia="黑体"/>
          <w:color w:val="000000"/>
          <w:szCs w:val="21"/>
        </w:rPr>
        <w:t>检验依据</w:t>
      </w:r>
    </w:p>
    <w:p w14:paraId="55870ADF">
      <w:pPr>
        <w:snapToGrid w:val="0"/>
        <w:spacing w:line="440" w:lineRule="exact"/>
        <w:jc w:val="center"/>
        <w:rPr>
          <w:color w:val="000000"/>
          <w:szCs w:val="21"/>
        </w:rPr>
      </w:pPr>
      <w:r>
        <w:rPr>
          <w:rFonts w:hint="eastAsia"/>
          <w:color w:val="000000"/>
          <w:szCs w:val="21"/>
        </w:rPr>
        <w:t>表2</w:t>
      </w:r>
      <w:r>
        <w:rPr>
          <w:color w:val="000000"/>
          <w:szCs w:val="21"/>
        </w:rPr>
        <w:t xml:space="preserve"> </w:t>
      </w:r>
      <w:r>
        <w:rPr>
          <w:rFonts w:hint="eastAsia"/>
          <w:color w:val="000000"/>
          <w:szCs w:val="21"/>
        </w:rPr>
        <w:t>电动自行车用锂离子蓄电池</w:t>
      </w:r>
    </w:p>
    <w:tbl>
      <w:tblPr>
        <w:tblStyle w:val="6"/>
        <w:tblW w:w="8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111"/>
        <w:gridCol w:w="5009"/>
      </w:tblGrid>
      <w:tr w14:paraId="428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tcBorders>
              <w:top w:val="single" w:color="auto" w:sz="4" w:space="0"/>
              <w:left w:val="single" w:color="auto" w:sz="4" w:space="0"/>
              <w:bottom w:val="single" w:color="auto" w:sz="4" w:space="0"/>
              <w:right w:val="single" w:color="auto" w:sz="4" w:space="0"/>
            </w:tcBorders>
          </w:tcPr>
          <w:p w14:paraId="38B9032D">
            <w:pPr>
              <w:snapToGrid w:val="0"/>
              <w:spacing w:line="300" w:lineRule="exact"/>
              <w:jc w:val="center"/>
              <w:rPr>
                <w:color w:val="000000"/>
                <w:szCs w:val="21"/>
              </w:rPr>
            </w:pPr>
            <w:r>
              <w:rPr>
                <w:rFonts w:hint="eastAsia"/>
                <w:color w:val="000000"/>
                <w:szCs w:val="21"/>
              </w:rPr>
              <w:t>序号</w:t>
            </w:r>
          </w:p>
        </w:tc>
        <w:tc>
          <w:tcPr>
            <w:tcW w:w="3111" w:type="dxa"/>
            <w:tcBorders>
              <w:top w:val="single" w:color="auto" w:sz="4" w:space="0"/>
              <w:left w:val="single" w:color="auto" w:sz="4" w:space="0"/>
              <w:bottom w:val="single" w:color="auto" w:sz="4" w:space="0"/>
              <w:right w:val="single" w:color="auto" w:sz="4" w:space="0"/>
            </w:tcBorders>
          </w:tcPr>
          <w:p w14:paraId="2CBB99FC">
            <w:pPr>
              <w:snapToGrid w:val="0"/>
              <w:spacing w:line="300" w:lineRule="exact"/>
              <w:jc w:val="center"/>
              <w:rPr>
                <w:color w:val="000000"/>
                <w:szCs w:val="21"/>
              </w:rPr>
            </w:pPr>
            <w:r>
              <w:rPr>
                <w:rFonts w:hint="eastAsia"/>
                <w:color w:val="000000"/>
                <w:szCs w:val="21"/>
              </w:rPr>
              <w:t>检验项目</w:t>
            </w:r>
          </w:p>
        </w:tc>
        <w:tc>
          <w:tcPr>
            <w:tcW w:w="5009" w:type="dxa"/>
            <w:tcBorders>
              <w:top w:val="single" w:color="auto" w:sz="4" w:space="0"/>
              <w:left w:val="single" w:color="auto" w:sz="4" w:space="0"/>
              <w:bottom w:val="single" w:color="auto" w:sz="4" w:space="0"/>
              <w:right w:val="single" w:color="auto" w:sz="4" w:space="0"/>
            </w:tcBorders>
          </w:tcPr>
          <w:p w14:paraId="340F1AB6">
            <w:pPr>
              <w:snapToGrid w:val="0"/>
              <w:spacing w:line="300" w:lineRule="exact"/>
              <w:jc w:val="center"/>
              <w:rPr>
                <w:color w:val="000000"/>
                <w:szCs w:val="21"/>
              </w:rPr>
            </w:pPr>
            <w:r>
              <w:rPr>
                <w:rFonts w:hint="eastAsia"/>
                <w:color w:val="000000"/>
                <w:szCs w:val="21"/>
              </w:rPr>
              <w:t>检验方法</w:t>
            </w:r>
          </w:p>
        </w:tc>
      </w:tr>
      <w:tr w14:paraId="3C7D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tcBorders>
              <w:top w:val="single" w:color="auto" w:sz="4" w:space="0"/>
              <w:left w:val="single" w:color="auto" w:sz="4" w:space="0"/>
              <w:bottom w:val="single" w:color="auto" w:sz="4" w:space="0"/>
              <w:right w:val="single" w:color="auto" w:sz="4" w:space="0"/>
            </w:tcBorders>
            <w:vAlign w:val="center"/>
          </w:tcPr>
          <w:p w14:paraId="55E87E27">
            <w:pPr>
              <w:snapToGrid w:val="0"/>
              <w:spacing w:line="300" w:lineRule="exact"/>
              <w:jc w:val="center"/>
              <w:rPr>
                <w:color w:val="000000"/>
                <w:szCs w:val="21"/>
              </w:rPr>
            </w:pPr>
            <w:r>
              <w:rPr>
                <w:color w:val="000000"/>
                <w:szCs w:val="21"/>
              </w:rPr>
              <w:t>1</w:t>
            </w:r>
          </w:p>
        </w:tc>
        <w:tc>
          <w:tcPr>
            <w:tcW w:w="3111" w:type="dxa"/>
            <w:tcBorders>
              <w:top w:val="single" w:color="auto" w:sz="4" w:space="0"/>
              <w:left w:val="single" w:color="auto" w:sz="4" w:space="0"/>
              <w:bottom w:val="single" w:color="auto" w:sz="4" w:space="0"/>
              <w:right w:val="single" w:color="auto" w:sz="4" w:space="0"/>
            </w:tcBorders>
            <w:vAlign w:val="center"/>
          </w:tcPr>
          <w:p w14:paraId="533C8F75">
            <w:pPr>
              <w:spacing w:line="300" w:lineRule="exact"/>
              <w:jc w:val="center"/>
              <w:rPr>
                <w:color w:val="000000"/>
                <w:szCs w:val="21"/>
              </w:rPr>
            </w:pPr>
            <w:r>
              <w:rPr>
                <w:color w:val="000000"/>
                <w:szCs w:val="21"/>
              </w:rPr>
              <w:t>I</w:t>
            </w:r>
            <w:r>
              <w:rPr>
                <w:color w:val="000000"/>
                <w:szCs w:val="21"/>
                <w:vertAlign w:val="subscript"/>
              </w:rPr>
              <w:t>2</w:t>
            </w:r>
            <w:r>
              <w:rPr>
                <w:color w:val="000000"/>
                <w:szCs w:val="21"/>
              </w:rPr>
              <w:t>(A)</w:t>
            </w:r>
            <w:r>
              <w:rPr>
                <w:rFonts w:hint="eastAsia"/>
                <w:color w:val="000000"/>
                <w:szCs w:val="21"/>
              </w:rPr>
              <w:t>放电</w:t>
            </w:r>
          </w:p>
        </w:tc>
        <w:tc>
          <w:tcPr>
            <w:tcW w:w="5009" w:type="dxa"/>
            <w:tcBorders>
              <w:top w:val="single" w:color="auto" w:sz="4" w:space="0"/>
              <w:left w:val="single" w:color="auto" w:sz="4" w:space="0"/>
              <w:bottom w:val="single" w:color="auto" w:sz="4" w:space="0"/>
              <w:right w:val="single" w:color="auto" w:sz="4" w:space="0"/>
            </w:tcBorders>
          </w:tcPr>
          <w:p w14:paraId="55586DEB">
            <w:pPr>
              <w:snapToGrid w:val="0"/>
              <w:spacing w:line="300" w:lineRule="exact"/>
              <w:jc w:val="center"/>
              <w:rPr>
                <w:color w:val="000000"/>
                <w:szCs w:val="21"/>
              </w:rPr>
            </w:pPr>
            <w:r>
              <w:rPr>
                <w:color w:val="000000"/>
                <w:szCs w:val="21"/>
              </w:rPr>
              <w:t>GB 43854</w:t>
            </w:r>
            <w:r>
              <w:rPr>
                <w:rFonts w:hint="eastAsia"/>
                <w:color w:val="000000"/>
                <w:szCs w:val="21"/>
              </w:rPr>
              <w:t>—</w:t>
            </w:r>
            <w:r>
              <w:rPr>
                <w:color w:val="000000"/>
                <w:szCs w:val="21"/>
              </w:rPr>
              <w:t>2024</w:t>
            </w:r>
          </w:p>
        </w:tc>
      </w:tr>
      <w:tr w14:paraId="5BA5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tcBorders>
              <w:top w:val="single" w:color="auto" w:sz="4" w:space="0"/>
              <w:left w:val="single" w:color="auto" w:sz="4" w:space="0"/>
              <w:bottom w:val="single" w:color="auto" w:sz="4" w:space="0"/>
              <w:right w:val="single" w:color="auto" w:sz="4" w:space="0"/>
            </w:tcBorders>
            <w:vAlign w:val="center"/>
          </w:tcPr>
          <w:p w14:paraId="3E11331B">
            <w:pPr>
              <w:snapToGrid w:val="0"/>
              <w:spacing w:line="300" w:lineRule="exact"/>
              <w:jc w:val="center"/>
              <w:rPr>
                <w:color w:val="000000"/>
                <w:szCs w:val="21"/>
              </w:rPr>
            </w:pPr>
            <w:r>
              <w:rPr>
                <w:color w:val="000000"/>
                <w:szCs w:val="21"/>
              </w:rPr>
              <w:t>2</w:t>
            </w:r>
          </w:p>
        </w:tc>
        <w:tc>
          <w:tcPr>
            <w:tcW w:w="3111" w:type="dxa"/>
            <w:tcBorders>
              <w:top w:val="single" w:color="auto" w:sz="4" w:space="0"/>
              <w:left w:val="single" w:color="auto" w:sz="4" w:space="0"/>
              <w:bottom w:val="single" w:color="auto" w:sz="4" w:space="0"/>
              <w:right w:val="single" w:color="auto" w:sz="4" w:space="0"/>
            </w:tcBorders>
            <w:vAlign w:val="center"/>
          </w:tcPr>
          <w:p w14:paraId="34E268D4">
            <w:pPr>
              <w:spacing w:line="300" w:lineRule="exact"/>
              <w:jc w:val="center"/>
              <w:rPr>
                <w:color w:val="000000"/>
                <w:szCs w:val="21"/>
              </w:rPr>
            </w:pPr>
            <w:r>
              <w:rPr>
                <w:rFonts w:hint="eastAsia"/>
                <w:color w:val="000000"/>
                <w:szCs w:val="21"/>
              </w:rPr>
              <w:t>过放电</w:t>
            </w:r>
          </w:p>
        </w:tc>
        <w:tc>
          <w:tcPr>
            <w:tcW w:w="5009" w:type="dxa"/>
            <w:tcBorders>
              <w:top w:val="single" w:color="auto" w:sz="4" w:space="0"/>
              <w:left w:val="single" w:color="auto" w:sz="4" w:space="0"/>
              <w:bottom w:val="single" w:color="auto" w:sz="4" w:space="0"/>
              <w:right w:val="single" w:color="auto" w:sz="4" w:space="0"/>
            </w:tcBorders>
          </w:tcPr>
          <w:p w14:paraId="6CDC5492">
            <w:pPr>
              <w:snapToGrid w:val="0"/>
              <w:spacing w:line="300" w:lineRule="exact"/>
              <w:jc w:val="center"/>
              <w:rPr>
                <w:color w:val="000000"/>
                <w:szCs w:val="21"/>
              </w:rPr>
            </w:pPr>
            <w:r>
              <w:rPr>
                <w:color w:val="000000"/>
                <w:szCs w:val="21"/>
              </w:rPr>
              <w:t>GB 43854</w:t>
            </w:r>
            <w:r>
              <w:rPr>
                <w:rFonts w:hint="eastAsia"/>
                <w:color w:val="000000"/>
                <w:szCs w:val="21"/>
              </w:rPr>
              <w:t>—</w:t>
            </w:r>
            <w:r>
              <w:rPr>
                <w:color w:val="000000"/>
                <w:szCs w:val="21"/>
              </w:rPr>
              <w:t>2024</w:t>
            </w:r>
          </w:p>
        </w:tc>
      </w:tr>
      <w:tr w14:paraId="09F0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tcBorders>
              <w:top w:val="single" w:color="auto" w:sz="4" w:space="0"/>
              <w:left w:val="single" w:color="auto" w:sz="4" w:space="0"/>
              <w:bottom w:val="single" w:color="auto" w:sz="4" w:space="0"/>
              <w:right w:val="single" w:color="auto" w:sz="4" w:space="0"/>
            </w:tcBorders>
            <w:vAlign w:val="center"/>
          </w:tcPr>
          <w:p w14:paraId="701910A6">
            <w:pPr>
              <w:snapToGrid w:val="0"/>
              <w:spacing w:line="300" w:lineRule="exact"/>
              <w:jc w:val="center"/>
              <w:rPr>
                <w:color w:val="000000"/>
                <w:szCs w:val="21"/>
              </w:rPr>
            </w:pPr>
            <w:r>
              <w:rPr>
                <w:color w:val="000000"/>
                <w:szCs w:val="21"/>
              </w:rPr>
              <w:t>3</w:t>
            </w:r>
          </w:p>
        </w:tc>
        <w:tc>
          <w:tcPr>
            <w:tcW w:w="3111" w:type="dxa"/>
            <w:tcBorders>
              <w:top w:val="single" w:color="auto" w:sz="4" w:space="0"/>
              <w:left w:val="single" w:color="auto" w:sz="4" w:space="0"/>
              <w:bottom w:val="single" w:color="auto" w:sz="4" w:space="0"/>
              <w:right w:val="single" w:color="auto" w:sz="4" w:space="0"/>
            </w:tcBorders>
            <w:vAlign w:val="center"/>
          </w:tcPr>
          <w:p w14:paraId="0CA0A426">
            <w:pPr>
              <w:spacing w:line="300" w:lineRule="exact"/>
              <w:jc w:val="center"/>
              <w:rPr>
                <w:color w:val="000000"/>
                <w:szCs w:val="21"/>
              </w:rPr>
            </w:pPr>
            <w:r>
              <w:rPr>
                <w:rFonts w:hint="eastAsia"/>
                <w:color w:val="000000"/>
                <w:szCs w:val="21"/>
              </w:rPr>
              <w:t>过充电</w:t>
            </w:r>
          </w:p>
        </w:tc>
        <w:tc>
          <w:tcPr>
            <w:tcW w:w="5009" w:type="dxa"/>
            <w:tcBorders>
              <w:top w:val="single" w:color="auto" w:sz="4" w:space="0"/>
              <w:left w:val="single" w:color="auto" w:sz="4" w:space="0"/>
              <w:bottom w:val="single" w:color="auto" w:sz="4" w:space="0"/>
              <w:right w:val="single" w:color="auto" w:sz="4" w:space="0"/>
            </w:tcBorders>
          </w:tcPr>
          <w:p w14:paraId="09C5F264">
            <w:pPr>
              <w:snapToGrid w:val="0"/>
              <w:spacing w:line="300" w:lineRule="exact"/>
              <w:jc w:val="center"/>
              <w:rPr>
                <w:color w:val="000000"/>
                <w:szCs w:val="21"/>
              </w:rPr>
            </w:pPr>
            <w:r>
              <w:rPr>
                <w:color w:val="000000"/>
                <w:szCs w:val="21"/>
              </w:rPr>
              <w:t>GB 43854</w:t>
            </w:r>
            <w:r>
              <w:rPr>
                <w:rFonts w:hint="eastAsia"/>
                <w:color w:val="000000"/>
                <w:szCs w:val="21"/>
              </w:rPr>
              <w:t>—</w:t>
            </w:r>
            <w:r>
              <w:rPr>
                <w:color w:val="000000"/>
                <w:szCs w:val="21"/>
              </w:rPr>
              <w:t>2024</w:t>
            </w:r>
          </w:p>
        </w:tc>
      </w:tr>
      <w:tr w14:paraId="7EE4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tcBorders>
              <w:top w:val="single" w:color="auto" w:sz="4" w:space="0"/>
              <w:left w:val="single" w:color="auto" w:sz="4" w:space="0"/>
              <w:bottom w:val="single" w:color="auto" w:sz="4" w:space="0"/>
              <w:right w:val="single" w:color="auto" w:sz="4" w:space="0"/>
            </w:tcBorders>
            <w:vAlign w:val="center"/>
          </w:tcPr>
          <w:p w14:paraId="6EB96076">
            <w:pPr>
              <w:snapToGrid w:val="0"/>
              <w:spacing w:line="300" w:lineRule="exact"/>
              <w:jc w:val="center"/>
              <w:rPr>
                <w:color w:val="000000"/>
                <w:szCs w:val="21"/>
              </w:rPr>
            </w:pPr>
            <w:r>
              <w:rPr>
                <w:color w:val="000000"/>
                <w:szCs w:val="21"/>
              </w:rPr>
              <w:t>4</w:t>
            </w:r>
          </w:p>
        </w:tc>
        <w:tc>
          <w:tcPr>
            <w:tcW w:w="3111" w:type="dxa"/>
            <w:tcBorders>
              <w:top w:val="single" w:color="auto" w:sz="4" w:space="0"/>
              <w:left w:val="single" w:color="auto" w:sz="4" w:space="0"/>
              <w:bottom w:val="single" w:color="auto" w:sz="4" w:space="0"/>
              <w:right w:val="single" w:color="auto" w:sz="4" w:space="0"/>
            </w:tcBorders>
            <w:vAlign w:val="center"/>
          </w:tcPr>
          <w:p w14:paraId="58B6875A">
            <w:pPr>
              <w:spacing w:line="300" w:lineRule="exact"/>
              <w:jc w:val="center"/>
              <w:rPr>
                <w:color w:val="000000"/>
                <w:szCs w:val="21"/>
              </w:rPr>
            </w:pPr>
            <w:r>
              <w:rPr>
                <w:rFonts w:hint="eastAsia"/>
                <w:color w:val="000000"/>
                <w:szCs w:val="21"/>
              </w:rPr>
              <w:t>外部短路</w:t>
            </w:r>
          </w:p>
        </w:tc>
        <w:tc>
          <w:tcPr>
            <w:tcW w:w="5009" w:type="dxa"/>
            <w:tcBorders>
              <w:top w:val="single" w:color="auto" w:sz="4" w:space="0"/>
              <w:left w:val="single" w:color="auto" w:sz="4" w:space="0"/>
              <w:bottom w:val="single" w:color="auto" w:sz="4" w:space="0"/>
              <w:right w:val="single" w:color="auto" w:sz="4" w:space="0"/>
            </w:tcBorders>
          </w:tcPr>
          <w:p w14:paraId="6D736487">
            <w:pPr>
              <w:snapToGrid w:val="0"/>
              <w:spacing w:line="300" w:lineRule="exact"/>
              <w:jc w:val="center"/>
              <w:rPr>
                <w:color w:val="000000"/>
                <w:szCs w:val="21"/>
              </w:rPr>
            </w:pPr>
            <w:r>
              <w:rPr>
                <w:color w:val="000000"/>
                <w:szCs w:val="21"/>
              </w:rPr>
              <w:t>GB 43854</w:t>
            </w:r>
            <w:r>
              <w:rPr>
                <w:rFonts w:hint="eastAsia"/>
                <w:color w:val="000000"/>
                <w:szCs w:val="21"/>
              </w:rPr>
              <w:t>—</w:t>
            </w:r>
            <w:r>
              <w:rPr>
                <w:color w:val="000000"/>
                <w:szCs w:val="21"/>
              </w:rPr>
              <w:t>2024</w:t>
            </w:r>
          </w:p>
        </w:tc>
      </w:tr>
      <w:tr w14:paraId="45C5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1A5D238">
            <w:pPr>
              <w:snapToGrid w:val="0"/>
              <w:spacing w:line="300" w:lineRule="exact"/>
              <w:jc w:val="center"/>
              <w:rPr>
                <w:color w:val="000000"/>
                <w:szCs w:val="21"/>
              </w:rPr>
            </w:pPr>
            <w:r>
              <w:rPr>
                <w:color w:val="000000"/>
                <w:szCs w:val="21"/>
              </w:rPr>
              <w:t>5</w:t>
            </w:r>
          </w:p>
        </w:tc>
        <w:tc>
          <w:tcPr>
            <w:tcW w:w="3111" w:type="dxa"/>
            <w:tcBorders>
              <w:top w:val="single" w:color="auto" w:sz="4" w:space="0"/>
              <w:left w:val="single" w:color="auto" w:sz="4" w:space="0"/>
              <w:bottom w:val="single" w:color="auto" w:sz="4" w:space="0"/>
              <w:right w:val="single" w:color="auto" w:sz="4" w:space="0"/>
            </w:tcBorders>
            <w:vAlign w:val="center"/>
          </w:tcPr>
          <w:p w14:paraId="717E7333">
            <w:pPr>
              <w:spacing w:line="300" w:lineRule="exact"/>
              <w:jc w:val="center"/>
              <w:rPr>
                <w:color w:val="000000"/>
                <w:szCs w:val="21"/>
              </w:rPr>
            </w:pPr>
            <w:r>
              <w:rPr>
                <w:rFonts w:hint="eastAsia"/>
                <w:color w:val="000000"/>
                <w:szCs w:val="21"/>
              </w:rPr>
              <w:t>过流放电</w:t>
            </w:r>
          </w:p>
        </w:tc>
        <w:tc>
          <w:tcPr>
            <w:tcW w:w="5009" w:type="dxa"/>
            <w:tcBorders>
              <w:top w:val="single" w:color="auto" w:sz="4" w:space="0"/>
              <w:left w:val="single" w:color="auto" w:sz="4" w:space="0"/>
              <w:bottom w:val="single" w:color="auto" w:sz="4" w:space="0"/>
              <w:right w:val="single" w:color="auto" w:sz="4" w:space="0"/>
            </w:tcBorders>
          </w:tcPr>
          <w:p w14:paraId="1B1668F6">
            <w:pPr>
              <w:snapToGrid w:val="0"/>
              <w:spacing w:line="300" w:lineRule="exact"/>
              <w:jc w:val="center"/>
              <w:rPr>
                <w:color w:val="000000"/>
                <w:szCs w:val="21"/>
              </w:rPr>
            </w:pPr>
            <w:r>
              <w:rPr>
                <w:color w:val="000000"/>
                <w:szCs w:val="21"/>
              </w:rPr>
              <w:t>GB 43854</w:t>
            </w:r>
            <w:r>
              <w:rPr>
                <w:rFonts w:hint="eastAsia"/>
                <w:color w:val="000000"/>
                <w:szCs w:val="21"/>
              </w:rPr>
              <w:t>—</w:t>
            </w:r>
            <w:r>
              <w:rPr>
                <w:color w:val="000000"/>
                <w:szCs w:val="21"/>
              </w:rPr>
              <w:t>2024</w:t>
            </w:r>
          </w:p>
        </w:tc>
      </w:tr>
    </w:tbl>
    <w:p w14:paraId="0BBF705C">
      <w:pPr>
        <w:adjustRightInd w:val="0"/>
        <w:snapToGrid w:val="0"/>
        <w:spacing w:line="440" w:lineRule="exact"/>
        <w:ind w:firstLine="420" w:firstLineChars="200"/>
        <w:rPr>
          <w:color w:val="000000"/>
          <w:szCs w:val="21"/>
        </w:rPr>
      </w:pPr>
      <w:r>
        <w:rPr>
          <w:rFonts w:hint="eastAsia"/>
          <w:color w:val="000000"/>
          <w:szCs w:val="21"/>
        </w:rPr>
        <w:t>执行企业标准</w:t>
      </w:r>
      <w:r>
        <w:rPr>
          <w:rFonts w:hint="eastAsia"/>
          <w:szCs w:val="21"/>
        </w:rPr>
        <w:t>、团体标准</w:t>
      </w:r>
      <w:r>
        <w:rPr>
          <w:rFonts w:hint="eastAsia"/>
          <w:color w:val="000000"/>
          <w:szCs w:val="21"/>
        </w:rPr>
        <w:t>、地方标准的产品，检验项目参照上述内容执行。</w:t>
      </w:r>
    </w:p>
    <w:p w14:paraId="4A4634FD">
      <w:pPr>
        <w:snapToGrid w:val="0"/>
        <w:spacing w:line="440" w:lineRule="exact"/>
        <w:ind w:firstLine="359" w:firstLineChars="171"/>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026BB743">
      <w:pPr>
        <w:spacing w:line="440" w:lineRule="exact"/>
        <w:rPr>
          <w:color w:val="000000"/>
          <w:szCs w:val="21"/>
        </w:rPr>
      </w:pPr>
    </w:p>
    <w:p w14:paraId="796247A6">
      <w:pPr>
        <w:spacing w:line="440" w:lineRule="exact"/>
        <w:rPr>
          <w:rFonts w:eastAsia="黑体"/>
          <w:color w:val="000000"/>
          <w:szCs w:val="21"/>
        </w:rPr>
      </w:pPr>
      <w:r>
        <w:rPr>
          <w:rFonts w:eastAsia="黑体"/>
          <w:color w:val="000000"/>
          <w:szCs w:val="21"/>
        </w:rPr>
        <w:t xml:space="preserve">3 </w:t>
      </w:r>
      <w:r>
        <w:rPr>
          <w:rFonts w:hint="eastAsia" w:eastAsia="黑体"/>
          <w:color w:val="000000"/>
          <w:szCs w:val="21"/>
        </w:rPr>
        <w:t>判定规则</w:t>
      </w:r>
    </w:p>
    <w:p w14:paraId="4A63A1FE">
      <w:pPr>
        <w:snapToGrid w:val="0"/>
        <w:spacing w:line="440" w:lineRule="exact"/>
        <w:rPr>
          <w:color w:val="000000"/>
          <w:szCs w:val="21"/>
        </w:rPr>
      </w:pPr>
      <w:r>
        <w:rPr>
          <w:color w:val="000000"/>
          <w:szCs w:val="21"/>
        </w:rPr>
        <w:t>3.1</w:t>
      </w:r>
      <w:r>
        <w:rPr>
          <w:rFonts w:hint="eastAsia"/>
          <w:color w:val="000000"/>
          <w:szCs w:val="21"/>
        </w:rPr>
        <w:t>依据标准</w:t>
      </w:r>
    </w:p>
    <w:p w14:paraId="223A0000">
      <w:pPr>
        <w:snapToGrid w:val="0"/>
        <w:spacing w:line="440" w:lineRule="exact"/>
        <w:ind w:firstLine="420" w:firstLineChars="200"/>
        <w:rPr>
          <w:color w:val="000000"/>
          <w:szCs w:val="21"/>
        </w:rPr>
      </w:pPr>
      <w:r>
        <w:rPr>
          <w:color w:val="000000"/>
          <w:szCs w:val="21"/>
        </w:rPr>
        <w:t>GB 43854</w:t>
      </w:r>
      <w:r>
        <w:rPr>
          <w:rFonts w:hint="eastAsia"/>
          <w:color w:val="000000"/>
          <w:szCs w:val="21"/>
        </w:rPr>
        <w:t>—</w:t>
      </w:r>
      <w:r>
        <w:rPr>
          <w:color w:val="000000"/>
          <w:szCs w:val="21"/>
        </w:rPr>
        <w:t xml:space="preserve">2024  </w:t>
      </w:r>
      <w:r>
        <w:rPr>
          <w:rFonts w:hint="eastAsia"/>
          <w:color w:val="000000"/>
          <w:szCs w:val="21"/>
        </w:rPr>
        <w:t>电动自行车用锂离子蓄电池安全技术规范</w:t>
      </w:r>
    </w:p>
    <w:p w14:paraId="261EC1DD">
      <w:pPr>
        <w:snapToGrid w:val="0"/>
        <w:spacing w:line="440" w:lineRule="exact"/>
        <w:ind w:firstLine="359" w:firstLineChars="171"/>
        <w:rPr>
          <w:color w:val="000000"/>
          <w:szCs w:val="21"/>
        </w:rPr>
      </w:pPr>
      <w:r>
        <w:rPr>
          <w:rFonts w:hint="eastAsia"/>
          <w:color w:val="000000"/>
          <w:szCs w:val="21"/>
        </w:rPr>
        <w:t>现行有效的企业标准</w:t>
      </w:r>
      <w:r>
        <w:rPr>
          <w:rFonts w:hint="eastAsia"/>
          <w:szCs w:val="21"/>
        </w:rPr>
        <w:t>、团体标准</w:t>
      </w:r>
      <w:r>
        <w:rPr>
          <w:rFonts w:hint="eastAsia"/>
          <w:color w:val="000000"/>
          <w:szCs w:val="21"/>
        </w:rPr>
        <w:t>、地方标准及产品明示质量要求</w:t>
      </w:r>
    </w:p>
    <w:p w14:paraId="0500082A">
      <w:pPr>
        <w:snapToGrid w:val="0"/>
        <w:spacing w:line="440" w:lineRule="exact"/>
        <w:rPr>
          <w:color w:val="000000"/>
          <w:szCs w:val="21"/>
        </w:rPr>
      </w:pPr>
      <w:r>
        <w:rPr>
          <w:color w:val="000000"/>
          <w:szCs w:val="21"/>
        </w:rPr>
        <w:t>3.2</w:t>
      </w:r>
      <w:r>
        <w:rPr>
          <w:rFonts w:hint="eastAsia"/>
          <w:color w:val="000000"/>
          <w:szCs w:val="21"/>
        </w:rPr>
        <w:t>判定原则</w:t>
      </w:r>
    </w:p>
    <w:p w14:paraId="6D45F4AB">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经检验，检验项目全部合格，判定为被抽查产品所检项目未发现不合格；检验项目中任一项或一项以上不合格，判定为被抽查产品不合格。</w:t>
      </w:r>
    </w:p>
    <w:p w14:paraId="2FC833EA">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2E7C7226">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7733E2FC">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1C97CCD1">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06993DBA">
      <w:pPr>
        <w:snapToGrid w:val="0"/>
        <w:spacing w:line="440" w:lineRule="exact"/>
        <w:ind w:firstLine="417" w:firstLineChars="199"/>
        <w:rPr>
          <w:rFonts w:hint="eastAsia"/>
          <w:color w:val="000000"/>
          <w:szCs w:val="21"/>
        </w:rPr>
      </w:pPr>
      <w:r>
        <w:rPr>
          <w:rFonts w:hint="eastAsia"/>
          <w:color w:val="000000"/>
          <w:szCs w:val="21"/>
        </w:rPr>
        <w:t>若被检产品明示的质量要求缺少本细则中检验项目依据的推荐性标准要求时，该项目不参与判定。</w:t>
      </w:r>
    </w:p>
    <w:p w14:paraId="51BF1A84">
      <w:pPr>
        <w:spacing w:line="360" w:lineRule="auto"/>
        <w:rPr>
          <w:rFonts w:hint="eastAsia" w:ascii="宋体" w:hAnsi="宋体"/>
          <w:color w:val="000000"/>
          <w:szCs w:val="21"/>
        </w:rPr>
      </w:pPr>
    </w:p>
    <w:sectPr>
      <w:headerReference r:id="rId3" w:type="default"/>
      <w:pgSz w:w="11906" w:h="16838"/>
      <w:pgMar w:top="1559" w:right="1287" w:bottom="1559" w:left="1622"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Courier New">
    <w:altName w:val="DejaVu Sans"/>
    <w:panose1 w:val="02070309020205020404"/>
    <w:charset w:val="00"/>
    <w:family w:val="modern"/>
    <w:pitch w:val="default"/>
    <w:sig w:usb0="00000000" w:usb1="00000000" w:usb2="00000009" w:usb3="00000000" w:csb0="000001F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C75B6">
    <w:pPr>
      <w:pStyle w:val="5"/>
      <w:pBdr>
        <w:bottom w:val="none" w:color="auto" w:sz="0" w:space="0"/>
      </w:pBdr>
      <w:spacing w:line="20"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E4NjgxOThlNGU0NzYwN2I1ZWE4ZDE5ZTg0M2I3ZDEifQ=="/>
  </w:docVars>
  <w:rsids>
    <w:rsidRoot w:val="00ED311F"/>
    <w:rsid w:val="000069FB"/>
    <w:rsid w:val="000078B0"/>
    <w:rsid w:val="000166B2"/>
    <w:rsid w:val="00023CCE"/>
    <w:rsid w:val="000271DD"/>
    <w:rsid w:val="000367FC"/>
    <w:rsid w:val="00040DF6"/>
    <w:rsid w:val="000577FB"/>
    <w:rsid w:val="00083FCE"/>
    <w:rsid w:val="0009067D"/>
    <w:rsid w:val="000A3494"/>
    <w:rsid w:val="000B6844"/>
    <w:rsid w:val="000B6BE6"/>
    <w:rsid w:val="000C2D7A"/>
    <w:rsid w:val="000C673B"/>
    <w:rsid w:val="000D3CF3"/>
    <w:rsid w:val="000E5BBF"/>
    <w:rsid w:val="0010065B"/>
    <w:rsid w:val="00125EEC"/>
    <w:rsid w:val="001319BD"/>
    <w:rsid w:val="00141EF4"/>
    <w:rsid w:val="00143685"/>
    <w:rsid w:val="00143E9C"/>
    <w:rsid w:val="00144C52"/>
    <w:rsid w:val="00147F35"/>
    <w:rsid w:val="00152B2F"/>
    <w:rsid w:val="00155269"/>
    <w:rsid w:val="001743DD"/>
    <w:rsid w:val="00185747"/>
    <w:rsid w:val="00185C40"/>
    <w:rsid w:val="001A2C46"/>
    <w:rsid w:val="001C4BD7"/>
    <w:rsid w:val="001C529B"/>
    <w:rsid w:val="001D3578"/>
    <w:rsid w:val="001E5BAE"/>
    <w:rsid w:val="002001C1"/>
    <w:rsid w:val="00220024"/>
    <w:rsid w:val="00220CC6"/>
    <w:rsid w:val="00233469"/>
    <w:rsid w:val="00247F02"/>
    <w:rsid w:val="002526AE"/>
    <w:rsid w:val="002767D9"/>
    <w:rsid w:val="002803F1"/>
    <w:rsid w:val="0028609A"/>
    <w:rsid w:val="00293072"/>
    <w:rsid w:val="002A5731"/>
    <w:rsid w:val="002B1C1D"/>
    <w:rsid w:val="002B40F6"/>
    <w:rsid w:val="002B7DA9"/>
    <w:rsid w:val="002C7F1C"/>
    <w:rsid w:val="002D0482"/>
    <w:rsid w:val="002E599D"/>
    <w:rsid w:val="002F238B"/>
    <w:rsid w:val="002F6328"/>
    <w:rsid w:val="0030697A"/>
    <w:rsid w:val="0031447B"/>
    <w:rsid w:val="00321EA6"/>
    <w:rsid w:val="00342B29"/>
    <w:rsid w:val="003509E6"/>
    <w:rsid w:val="003578E8"/>
    <w:rsid w:val="00372329"/>
    <w:rsid w:val="00376606"/>
    <w:rsid w:val="0038371E"/>
    <w:rsid w:val="00391E30"/>
    <w:rsid w:val="003A5B92"/>
    <w:rsid w:val="003D1BD6"/>
    <w:rsid w:val="003D3CBE"/>
    <w:rsid w:val="003D71B1"/>
    <w:rsid w:val="003D7715"/>
    <w:rsid w:val="003E1D22"/>
    <w:rsid w:val="003E202B"/>
    <w:rsid w:val="003E3A7C"/>
    <w:rsid w:val="003F2087"/>
    <w:rsid w:val="004140B7"/>
    <w:rsid w:val="00417EEE"/>
    <w:rsid w:val="00423A8D"/>
    <w:rsid w:val="00424BA3"/>
    <w:rsid w:val="00437745"/>
    <w:rsid w:val="004442E0"/>
    <w:rsid w:val="004472CE"/>
    <w:rsid w:val="00463B16"/>
    <w:rsid w:val="004A40D5"/>
    <w:rsid w:val="004A6081"/>
    <w:rsid w:val="004B59C1"/>
    <w:rsid w:val="004C5ED3"/>
    <w:rsid w:val="004E6CB9"/>
    <w:rsid w:val="004E7BF0"/>
    <w:rsid w:val="004F7EB9"/>
    <w:rsid w:val="00504E3D"/>
    <w:rsid w:val="00524BA8"/>
    <w:rsid w:val="005453C6"/>
    <w:rsid w:val="005523EF"/>
    <w:rsid w:val="0055279F"/>
    <w:rsid w:val="00556E0B"/>
    <w:rsid w:val="00561972"/>
    <w:rsid w:val="00562420"/>
    <w:rsid w:val="0056629D"/>
    <w:rsid w:val="00575944"/>
    <w:rsid w:val="005776A1"/>
    <w:rsid w:val="00582916"/>
    <w:rsid w:val="00592163"/>
    <w:rsid w:val="005B2E32"/>
    <w:rsid w:val="005D3A56"/>
    <w:rsid w:val="005F1807"/>
    <w:rsid w:val="0061479D"/>
    <w:rsid w:val="00622413"/>
    <w:rsid w:val="0062339A"/>
    <w:rsid w:val="0062355C"/>
    <w:rsid w:val="00636FB4"/>
    <w:rsid w:val="00642CD9"/>
    <w:rsid w:val="006452EE"/>
    <w:rsid w:val="00650CC2"/>
    <w:rsid w:val="006612FE"/>
    <w:rsid w:val="00665CB4"/>
    <w:rsid w:val="00672458"/>
    <w:rsid w:val="006803E1"/>
    <w:rsid w:val="006816F9"/>
    <w:rsid w:val="00683BF8"/>
    <w:rsid w:val="006907DA"/>
    <w:rsid w:val="00695545"/>
    <w:rsid w:val="006A039F"/>
    <w:rsid w:val="006A45F6"/>
    <w:rsid w:val="006A7F32"/>
    <w:rsid w:val="006B16CF"/>
    <w:rsid w:val="006D6BB8"/>
    <w:rsid w:val="006E4862"/>
    <w:rsid w:val="006F2BAC"/>
    <w:rsid w:val="006F5BC7"/>
    <w:rsid w:val="00705143"/>
    <w:rsid w:val="00706187"/>
    <w:rsid w:val="00706639"/>
    <w:rsid w:val="00720A81"/>
    <w:rsid w:val="00724DE4"/>
    <w:rsid w:val="00784D88"/>
    <w:rsid w:val="00785B6E"/>
    <w:rsid w:val="00787250"/>
    <w:rsid w:val="00790C8D"/>
    <w:rsid w:val="007975FE"/>
    <w:rsid w:val="007B1CC8"/>
    <w:rsid w:val="007C0829"/>
    <w:rsid w:val="007E3081"/>
    <w:rsid w:val="007E34C0"/>
    <w:rsid w:val="007F1A8E"/>
    <w:rsid w:val="007F4BFF"/>
    <w:rsid w:val="008003CB"/>
    <w:rsid w:val="00811266"/>
    <w:rsid w:val="00820C8E"/>
    <w:rsid w:val="00825B99"/>
    <w:rsid w:val="00827CAF"/>
    <w:rsid w:val="0084177A"/>
    <w:rsid w:val="00844DEA"/>
    <w:rsid w:val="00852648"/>
    <w:rsid w:val="00852B6A"/>
    <w:rsid w:val="00861A92"/>
    <w:rsid w:val="008654EE"/>
    <w:rsid w:val="00875BAB"/>
    <w:rsid w:val="008B45BF"/>
    <w:rsid w:val="008B6AE6"/>
    <w:rsid w:val="008C6C9B"/>
    <w:rsid w:val="008E27A5"/>
    <w:rsid w:val="008E5D9B"/>
    <w:rsid w:val="008F01F6"/>
    <w:rsid w:val="00905DB2"/>
    <w:rsid w:val="00916FE5"/>
    <w:rsid w:val="00917A71"/>
    <w:rsid w:val="00937B7F"/>
    <w:rsid w:val="00943B32"/>
    <w:rsid w:val="00953B0D"/>
    <w:rsid w:val="009615F7"/>
    <w:rsid w:val="00962F18"/>
    <w:rsid w:val="00973B32"/>
    <w:rsid w:val="00975E2A"/>
    <w:rsid w:val="00980DBC"/>
    <w:rsid w:val="009A17B2"/>
    <w:rsid w:val="009A422B"/>
    <w:rsid w:val="009A4C14"/>
    <w:rsid w:val="009A608C"/>
    <w:rsid w:val="009B6C77"/>
    <w:rsid w:val="009B6CAD"/>
    <w:rsid w:val="009C2F36"/>
    <w:rsid w:val="009C46AC"/>
    <w:rsid w:val="00A03A19"/>
    <w:rsid w:val="00A049C3"/>
    <w:rsid w:val="00A36438"/>
    <w:rsid w:val="00A43637"/>
    <w:rsid w:val="00A44A0A"/>
    <w:rsid w:val="00A90B99"/>
    <w:rsid w:val="00A97610"/>
    <w:rsid w:val="00AA3D26"/>
    <w:rsid w:val="00AC15B4"/>
    <w:rsid w:val="00AE002A"/>
    <w:rsid w:val="00AE0374"/>
    <w:rsid w:val="00AE78B9"/>
    <w:rsid w:val="00AF5B95"/>
    <w:rsid w:val="00AF6240"/>
    <w:rsid w:val="00B029DE"/>
    <w:rsid w:val="00B03B55"/>
    <w:rsid w:val="00B07A46"/>
    <w:rsid w:val="00B10D5D"/>
    <w:rsid w:val="00B21C37"/>
    <w:rsid w:val="00B2485A"/>
    <w:rsid w:val="00B30F41"/>
    <w:rsid w:val="00B4014B"/>
    <w:rsid w:val="00B417C2"/>
    <w:rsid w:val="00B42F1D"/>
    <w:rsid w:val="00B44820"/>
    <w:rsid w:val="00B57F2B"/>
    <w:rsid w:val="00B76611"/>
    <w:rsid w:val="00B801D3"/>
    <w:rsid w:val="00B80E2A"/>
    <w:rsid w:val="00B82C11"/>
    <w:rsid w:val="00B92331"/>
    <w:rsid w:val="00BA0F32"/>
    <w:rsid w:val="00BC2987"/>
    <w:rsid w:val="00BD054D"/>
    <w:rsid w:val="00BF433A"/>
    <w:rsid w:val="00BF5449"/>
    <w:rsid w:val="00C01ACB"/>
    <w:rsid w:val="00C24638"/>
    <w:rsid w:val="00C25C32"/>
    <w:rsid w:val="00C44CC7"/>
    <w:rsid w:val="00C57129"/>
    <w:rsid w:val="00C62C77"/>
    <w:rsid w:val="00C7513E"/>
    <w:rsid w:val="00C93714"/>
    <w:rsid w:val="00CA36EF"/>
    <w:rsid w:val="00CA39A8"/>
    <w:rsid w:val="00CB4CCB"/>
    <w:rsid w:val="00CE39B6"/>
    <w:rsid w:val="00CE482C"/>
    <w:rsid w:val="00CF7E5A"/>
    <w:rsid w:val="00D05FA0"/>
    <w:rsid w:val="00D121DB"/>
    <w:rsid w:val="00D21CF0"/>
    <w:rsid w:val="00D326E9"/>
    <w:rsid w:val="00D32BF2"/>
    <w:rsid w:val="00D34BA7"/>
    <w:rsid w:val="00D55AA2"/>
    <w:rsid w:val="00D6069B"/>
    <w:rsid w:val="00D64562"/>
    <w:rsid w:val="00D84275"/>
    <w:rsid w:val="00D93E2D"/>
    <w:rsid w:val="00D96207"/>
    <w:rsid w:val="00D97573"/>
    <w:rsid w:val="00D97CC0"/>
    <w:rsid w:val="00DA6911"/>
    <w:rsid w:val="00DB65CD"/>
    <w:rsid w:val="00DD032F"/>
    <w:rsid w:val="00DD29ED"/>
    <w:rsid w:val="00DD6229"/>
    <w:rsid w:val="00DE2B2D"/>
    <w:rsid w:val="00DE3C5D"/>
    <w:rsid w:val="00DE4E42"/>
    <w:rsid w:val="00DF710F"/>
    <w:rsid w:val="00E11BCE"/>
    <w:rsid w:val="00E30420"/>
    <w:rsid w:val="00E3156E"/>
    <w:rsid w:val="00E325AF"/>
    <w:rsid w:val="00E345D3"/>
    <w:rsid w:val="00E42B72"/>
    <w:rsid w:val="00E44510"/>
    <w:rsid w:val="00E6132C"/>
    <w:rsid w:val="00E83019"/>
    <w:rsid w:val="00ED311F"/>
    <w:rsid w:val="00ED3A15"/>
    <w:rsid w:val="00EE1055"/>
    <w:rsid w:val="00EE1499"/>
    <w:rsid w:val="00F02867"/>
    <w:rsid w:val="00F13F99"/>
    <w:rsid w:val="00F22BC1"/>
    <w:rsid w:val="00F24E54"/>
    <w:rsid w:val="00F3716A"/>
    <w:rsid w:val="00F37C7E"/>
    <w:rsid w:val="00F4667F"/>
    <w:rsid w:val="00F50688"/>
    <w:rsid w:val="00F8482F"/>
    <w:rsid w:val="00F84A5E"/>
    <w:rsid w:val="00F912A8"/>
    <w:rsid w:val="00F95A65"/>
    <w:rsid w:val="00FA7468"/>
    <w:rsid w:val="00FB1754"/>
    <w:rsid w:val="00FB7BD2"/>
    <w:rsid w:val="00FC0BFD"/>
    <w:rsid w:val="00FC163A"/>
    <w:rsid w:val="00FD1C37"/>
    <w:rsid w:val="00FD40A9"/>
    <w:rsid w:val="00FE5A4B"/>
    <w:rsid w:val="00FF3723"/>
    <w:rsid w:val="030D38E3"/>
    <w:rsid w:val="0C290057"/>
    <w:rsid w:val="1BEC7F69"/>
    <w:rsid w:val="1EC4438D"/>
    <w:rsid w:val="39D225BA"/>
    <w:rsid w:val="625106AA"/>
    <w:rsid w:val="67FD5580"/>
    <w:rsid w:val="75FB4602"/>
    <w:rsid w:val="E67DA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qFormat/>
    <w:uiPriority w:val="99"/>
    <w:rPr>
      <w:rFonts w:ascii="宋体" w:hAnsi="Courier New"/>
      <w:szCs w:val="20"/>
    </w:rPr>
  </w:style>
  <w:style w:type="paragraph" w:styleId="4">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autoRedefine/>
    <w:qFormat/>
    <w:uiPriority w:val="99"/>
    <w:rPr>
      <w:sz w:val="18"/>
      <w:szCs w:val="18"/>
    </w:rPr>
  </w:style>
  <w:style w:type="character" w:customStyle="1" w:styleId="10">
    <w:name w:val="页脚 字符"/>
    <w:basedOn w:val="8"/>
    <w:link w:val="4"/>
    <w:autoRedefine/>
    <w:semiHidden/>
    <w:qFormat/>
    <w:uiPriority w:val="99"/>
    <w:rPr>
      <w:sz w:val="18"/>
      <w:szCs w:val="18"/>
    </w:rPr>
  </w:style>
  <w:style w:type="character" w:customStyle="1" w:styleId="11">
    <w:name w:val="纯文本 字符"/>
    <w:basedOn w:val="8"/>
    <w:link w:val="3"/>
    <w:autoRedefine/>
    <w:qFormat/>
    <w:uiPriority w:val="99"/>
    <w:rPr>
      <w:rFonts w:ascii="宋体" w:hAnsi="Courier New" w:eastAsia="宋体" w:cs="Times New Roman"/>
      <w:szCs w:val="20"/>
    </w:rPr>
  </w:style>
  <w:style w:type="paragraph" w:customStyle="1" w:styleId="12">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3">
    <w:name w:val="Table Paragraph"/>
    <w:basedOn w:val="1"/>
    <w:qFormat/>
    <w:uiPriority w:val="1"/>
    <w:pPr>
      <w:autoSpaceDE w:val="0"/>
      <w:autoSpaceDN w:val="0"/>
      <w:adjustRightInd w:val="0"/>
      <w:spacing w:before="119"/>
      <w:ind w:left="227"/>
      <w:jc w:val="center"/>
    </w:pPr>
    <w:rPr>
      <w:rFonts w:ascii="宋体" w:cs="宋体"/>
      <w:kern w:val="0"/>
      <w:sz w:val="24"/>
    </w:rPr>
  </w:style>
  <w:style w:type="character" w:customStyle="1" w:styleId="14">
    <w:name w:val="标题 4 字符"/>
    <w:basedOn w:val="8"/>
    <w:link w:val="2"/>
    <w:semiHidden/>
    <w:qFormat/>
    <w:uiPriority w:val="9"/>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382</Words>
  <Characters>428</Characters>
  <Lines>30</Lines>
  <Paragraphs>44</Paragraphs>
  <TotalTime>2</TotalTime>
  <ScaleCrop>false</ScaleCrop>
  <LinksUpToDate>false</LinksUpToDate>
  <CharactersWithSpaces>766</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2026-06-28T23:06:00Z</dcterms:created>
  <dc:creator>User</dc:creator>
  <cp:lastModifiedBy>UOS</cp:lastModifiedBy>
  <dcterms:modified xsi:type="dcterms:W3CDTF">2026-07-08T16:14:08Z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8D304FC1E7EE46E98CF12DCD15D738FF</vt:lpwstr>
  </property>
</Properties>
</file>