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A522A">
      <w:pPr>
        <w:pStyle w:val="6"/>
        <w:keepNext w:val="0"/>
        <w:keepLines w:val="0"/>
        <w:widowControl/>
        <w:suppressLineNumbers w:val="0"/>
        <w:spacing w:before="0" w:beforeAutospacing="0" w:after="0" w:afterAutospacing="0"/>
        <w:ind w:left="0" w:right="0" w:firstLine="0"/>
        <w:jc w:val="center"/>
        <w:rPr>
          <w:rFonts w:ascii="Times New Roman" w:hAnsi="Times New Roman" w:eastAsia="方正小标宋简体" w:cs="Times New Roman"/>
          <w:kern w:val="2"/>
          <w:sz w:val="32"/>
          <w:szCs w:val="32"/>
          <w:lang w:val="en-US" w:eastAsia="zh-CN" w:bidi="ar-SA"/>
        </w:rPr>
      </w:pPr>
      <w:r>
        <w:rPr>
          <w:rFonts w:ascii="Times New Roman" w:hAnsi="Times New Roman" w:eastAsia="方正小标宋简体" w:cs="Times New Roman"/>
          <w:kern w:val="2"/>
          <w:sz w:val="32"/>
          <w:szCs w:val="32"/>
          <w:lang w:val="en-US" w:eastAsia="zh-CN" w:bidi="ar-SA"/>
        </w:rPr>
        <w:t>泉州市市场监督管理局2026年</w:t>
      </w:r>
    </w:p>
    <w:p w14:paraId="4ADBCEA0">
      <w:pPr>
        <w:snapToGrid w:val="0"/>
        <w:spacing w:line="360" w:lineRule="auto"/>
        <w:jc w:val="center"/>
        <w:rPr>
          <w:rFonts w:ascii="宋体"/>
          <w:b/>
          <w:color w:val="000000"/>
          <w:sz w:val="32"/>
          <w:szCs w:val="32"/>
        </w:rPr>
      </w:pPr>
      <w:r>
        <w:rPr>
          <w:rFonts w:hint="eastAsia" w:ascii="Times New Roman" w:hAnsi="Times New Roman" w:eastAsia="方正小标宋简体" w:cs="Times New Roman"/>
          <w:kern w:val="2"/>
          <w:sz w:val="32"/>
          <w:szCs w:val="32"/>
          <w:lang w:val="en-US" w:eastAsia="zh-CN" w:bidi="ar-SA"/>
        </w:rPr>
        <w:t>陶瓷坐便器</w:t>
      </w:r>
      <w:r>
        <w:rPr>
          <w:rFonts w:ascii="Times New Roman" w:hAnsi="Times New Roman" w:eastAsia="方正小标宋简体" w:cs="Times New Roman"/>
          <w:kern w:val="2"/>
          <w:sz w:val="32"/>
          <w:szCs w:val="32"/>
          <w:lang w:val="en-US" w:eastAsia="zh-CN" w:bidi="ar-SA"/>
        </w:rPr>
        <w:t>产品质量监督抽查实施细则</w:t>
      </w:r>
    </w:p>
    <w:p w14:paraId="70732EC2">
      <w:pPr>
        <w:snapToGrid w:val="0"/>
        <w:spacing w:line="440" w:lineRule="exact"/>
        <w:rPr>
          <w:rFonts w:ascii="黑体" w:hAnsi="宋体" w:eastAsia="黑体"/>
          <w:color w:val="000000"/>
          <w:szCs w:val="21"/>
        </w:rPr>
      </w:pPr>
      <w:r>
        <w:rPr>
          <w:rFonts w:ascii="黑体" w:hAnsi="宋体" w:eastAsia="黑体"/>
          <w:color w:val="000000"/>
          <w:szCs w:val="21"/>
        </w:rPr>
        <w:t xml:space="preserve">1 </w:t>
      </w:r>
      <w:r>
        <w:rPr>
          <w:rFonts w:hint="eastAsia" w:ascii="黑体" w:hAnsi="宋体" w:eastAsia="黑体"/>
          <w:color w:val="000000"/>
          <w:szCs w:val="21"/>
        </w:rPr>
        <w:t>抽样方法</w:t>
      </w:r>
      <w:bookmarkStart w:id="0" w:name="_GoBack"/>
      <w:bookmarkEnd w:id="0"/>
    </w:p>
    <w:p w14:paraId="0244B6FD">
      <w:pPr>
        <w:snapToGrid w:val="0"/>
        <w:spacing w:line="440" w:lineRule="exact"/>
        <w:ind w:firstLine="420" w:firstLineChars="200"/>
        <w:rPr>
          <w:color w:val="000000"/>
          <w:szCs w:val="21"/>
        </w:rPr>
      </w:pPr>
      <w:r>
        <w:rPr>
          <w:rFonts w:hint="eastAsia"/>
          <w:color w:val="000000"/>
          <w:szCs w:val="21"/>
        </w:rPr>
        <w:t>以随机抽样的方式在被抽样生产者、销售者的待销产品中抽取。</w:t>
      </w:r>
    </w:p>
    <w:p w14:paraId="65192C21">
      <w:pPr>
        <w:snapToGrid w:val="0"/>
        <w:spacing w:line="440" w:lineRule="exact"/>
        <w:ind w:firstLine="420" w:firstLineChars="200"/>
        <w:rPr>
          <w:rFonts w:ascii="宋体"/>
          <w:color w:val="000000"/>
          <w:szCs w:val="21"/>
        </w:rPr>
      </w:pPr>
      <w:r>
        <w:rPr>
          <w:rFonts w:hint="eastAsia"/>
          <w:color w:val="000000"/>
          <w:szCs w:val="21"/>
        </w:rPr>
        <w:t>随机数一般可使用随机数表等方法产生。</w:t>
      </w:r>
    </w:p>
    <w:p w14:paraId="646D33F0">
      <w:pPr>
        <w:snapToGrid w:val="0"/>
        <w:spacing w:line="440" w:lineRule="exact"/>
        <w:ind w:firstLine="420" w:firstLineChars="200"/>
        <w:rPr>
          <w:color w:val="000000"/>
          <w:szCs w:val="21"/>
        </w:rPr>
      </w:pPr>
      <w:r>
        <w:rPr>
          <w:rFonts w:hint="eastAsia" w:ascii="宋体" w:hAnsi="宋体"/>
          <w:szCs w:val="21"/>
        </w:rPr>
        <w:t>每批次产品抽取样品</w:t>
      </w:r>
      <w:r>
        <w:rPr>
          <w:rFonts w:ascii="宋体" w:hAnsi="宋体"/>
          <w:szCs w:val="21"/>
        </w:rPr>
        <w:t>2</w:t>
      </w:r>
      <w:r>
        <w:rPr>
          <w:rFonts w:hint="eastAsia" w:ascii="宋体" w:hAnsi="宋体"/>
          <w:szCs w:val="21"/>
        </w:rPr>
        <w:t>台，其中</w:t>
      </w:r>
      <w:r>
        <w:rPr>
          <w:rFonts w:ascii="宋体" w:hAnsi="宋体"/>
          <w:szCs w:val="21"/>
        </w:rPr>
        <w:t>1</w:t>
      </w:r>
      <w:r>
        <w:rPr>
          <w:rFonts w:hint="eastAsia" w:ascii="宋体" w:hAnsi="宋体"/>
          <w:szCs w:val="21"/>
        </w:rPr>
        <w:t>台作为检验样品，</w:t>
      </w:r>
      <w:r>
        <w:rPr>
          <w:rFonts w:ascii="宋体" w:hAnsi="宋体"/>
          <w:szCs w:val="21"/>
        </w:rPr>
        <w:t>1</w:t>
      </w:r>
      <w:r>
        <w:rPr>
          <w:rFonts w:hint="eastAsia" w:ascii="宋体" w:hAnsi="宋体"/>
          <w:szCs w:val="21"/>
        </w:rPr>
        <w:t>台作为备用样品。</w:t>
      </w:r>
    </w:p>
    <w:p w14:paraId="379088E8">
      <w:pPr>
        <w:snapToGrid w:val="0"/>
        <w:spacing w:line="440" w:lineRule="exact"/>
        <w:rPr>
          <w:rFonts w:ascii="黑体" w:hAnsi="宋体" w:eastAsia="黑体"/>
          <w:color w:val="000000"/>
          <w:szCs w:val="21"/>
        </w:rPr>
      </w:pPr>
      <w:r>
        <w:rPr>
          <w:rFonts w:ascii="黑体" w:hAnsi="宋体" w:eastAsia="黑体"/>
          <w:color w:val="000000"/>
          <w:szCs w:val="21"/>
        </w:rPr>
        <w:t xml:space="preserve">2 </w:t>
      </w:r>
      <w:r>
        <w:rPr>
          <w:rFonts w:hint="eastAsia" w:ascii="黑体" w:hAnsi="宋体" w:eastAsia="黑体"/>
          <w:color w:val="000000"/>
          <w:szCs w:val="21"/>
        </w:rPr>
        <w:t>检验依据</w:t>
      </w:r>
    </w:p>
    <w:tbl>
      <w:tblPr>
        <w:tblStyle w:val="7"/>
        <w:tblW w:w="4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2837"/>
        <w:gridCol w:w="4825"/>
      </w:tblGrid>
      <w:tr w14:paraId="75338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11" w:type="pct"/>
            <w:vAlign w:val="center"/>
          </w:tcPr>
          <w:p w14:paraId="29AC197D">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序号</w:t>
            </w:r>
          </w:p>
        </w:tc>
        <w:tc>
          <w:tcPr>
            <w:tcW w:w="1625" w:type="pct"/>
            <w:vAlign w:val="center"/>
          </w:tcPr>
          <w:p w14:paraId="4BE0CB4A">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检验项目</w:t>
            </w:r>
          </w:p>
        </w:tc>
        <w:tc>
          <w:tcPr>
            <w:tcW w:w="2764" w:type="pct"/>
            <w:vAlign w:val="center"/>
          </w:tcPr>
          <w:p w14:paraId="2BACD9A3">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检验方法</w:t>
            </w:r>
          </w:p>
        </w:tc>
      </w:tr>
      <w:tr w14:paraId="4AA6C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72DE5DBE">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w:t>
            </w:r>
          </w:p>
        </w:tc>
        <w:tc>
          <w:tcPr>
            <w:tcW w:w="1625" w:type="pct"/>
            <w:vAlign w:val="center"/>
          </w:tcPr>
          <w:p w14:paraId="3E8F2538">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水封深度</w:t>
            </w:r>
          </w:p>
        </w:tc>
        <w:tc>
          <w:tcPr>
            <w:tcW w:w="2764" w:type="pct"/>
            <w:vAlign w:val="center"/>
          </w:tcPr>
          <w:p w14:paraId="1707376E">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5B556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1C21364B">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2</w:t>
            </w:r>
          </w:p>
        </w:tc>
        <w:tc>
          <w:tcPr>
            <w:tcW w:w="1625" w:type="pct"/>
            <w:vAlign w:val="center"/>
          </w:tcPr>
          <w:p w14:paraId="6B1A301E">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坐便器水封表面尺寸</w:t>
            </w:r>
          </w:p>
        </w:tc>
        <w:tc>
          <w:tcPr>
            <w:tcW w:w="2764" w:type="pct"/>
            <w:vAlign w:val="center"/>
          </w:tcPr>
          <w:p w14:paraId="1F7E2541">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1DF47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3B70B424">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3</w:t>
            </w:r>
          </w:p>
        </w:tc>
        <w:tc>
          <w:tcPr>
            <w:tcW w:w="1625" w:type="pct"/>
            <w:vAlign w:val="center"/>
          </w:tcPr>
          <w:p w14:paraId="2F703134">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便器用水量</w:t>
            </w:r>
          </w:p>
        </w:tc>
        <w:tc>
          <w:tcPr>
            <w:tcW w:w="2764" w:type="pct"/>
            <w:vAlign w:val="center"/>
          </w:tcPr>
          <w:p w14:paraId="521A4D31">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58E3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522447BA">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4</w:t>
            </w:r>
          </w:p>
        </w:tc>
        <w:tc>
          <w:tcPr>
            <w:tcW w:w="1625" w:type="pct"/>
            <w:vAlign w:val="center"/>
          </w:tcPr>
          <w:p w14:paraId="2AE5ED11">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洗净功能</w:t>
            </w:r>
          </w:p>
        </w:tc>
        <w:tc>
          <w:tcPr>
            <w:tcW w:w="2764" w:type="pct"/>
            <w:vAlign w:val="center"/>
          </w:tcPr>
          <w:p w14:paraId="084340F9">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1839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3BFDEA16">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5</w:t>
            </w:r>
          </w:p>
        </w:tc>
        <w:tc>
          <w:tcPr>
            <w:tcW w:w="1625" w:type="pct"/>
            <w:vAlign w:val="center"/>
          </w:tcPr>
          <w:p w14:paraId="28ACD443">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排放功能</w:t>
            </w:r>
          </w:p>
        </w:tc>
        <w:tc>
          <w:tcPr>
            <w:tcW w:w="2764" w:type="pct"/>
            <w:vAlign w:val="center"/>
          </w:tcPr>
          <w:p w14:paraId="2457FFFD">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6E3FB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5B219532">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6</w:t>
            </w:r>
          </w:p>
        </w:tc>
        <w:tc>
          <w:tcPr>
            <w:tcW w:w="1625" w:type="pct"/>
            <w:vAlign w:val="center"/>
          </w:tcPr>
          <w:p w14:paraId="5B1B96B4">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排水管道输送特性</w:t>
            </w:r>
          </w:p>
        </w:tc>
        <w:tc>
          <w:tcPr>
            <w:tcW w:w="2764" w:type="pct"/>
            <w:vAlign w:val="center"/>
          </w:tcPr>
          <w:p w14:paraId="7E978DA3">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3D3B6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21B8AA2A">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7</w:t>
            </w:r>
          </w:p>
        </w:tc>
        <w:tc>
          <w:tcPr>
            <w:tcW w:w="1625" w:type="pct"/>
            <w:vAlign w:val="center"/>
          </w:tcPr>
          <w:p w14:paraId="7C9474F5">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水封回复功能</w:t>
            </w:r>
          </w:p>
        </w:tc>
        <w:tc>
          <w:tcPr>
            <w:tcW w:w="2764" w:type="pct"/>
            <w:vAlign w:val="center"/>
          </w:tcPr>
          <w:p w14:paraId="237CD04E">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11B2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1AD62D0E">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8</w:t>
            </w:r>
          </w:p>
        </w:tc>
        <w:tc>
          <w:tcPr>
            <w:tcW w:w="1625" w:type="pct"/>
            <w:vAlign w:val="center"/>
          </w:tcPr>
          <w:p w14:paraId="0370B8C0">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污水置换功能</w:t>
            </w:r>
          </w:p>
        </w:tc>
        <w:tc>
          <w:tcPr>
            <w:tcW w:w="2764" w:type="pct"/>
            <w:vAlign w:val="center"/>
          </w:tcPr>
          <w:p w14:paraId="4D82C39C">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44676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456C2A1A">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9</w:t>
            </w:r>
          </w:p>
        </w:tc>
        <w:tc>
          <w:tcPr>
            <w:tcW w:w="1625" w:type="pct"/>
            <w:vAlign w:val="center"/>
          </w:tcPr>
          <w:p w14:paraId="33E88E32">
            <w:pPr>
              <w:autoSpaceDE w:val="0"/>
              <w:autoSpaceDN w:val="0"/>
              <w:jc w:val="center"/>
              <w:rPr>
                <w:rFonts w:asciiTheme="minorEastAsia" w:hAnsiTheme="minorEastAsia" w:eastAsiaTheme="minorEastAsia"/>
                <w:szCs w:val="21"/>
              </w:rPr>
            </w:pPr>
            <w:r>
              <w:rPr>
                <w:rFonts w:asciiTheme="minorEastAsia" w:hAnsiTheme="minorEastAsia" w:eastAsiaTheme="minorEastAsia"/>
                <w:szCs w:val="21"/>
              </w:rPr>
              <w:t>卫生纸试验</w:t>
            </w:r>
          </w:p>
        </w:tc>
        <w:tc>
          <w:tcPr>
            <w:tcW w:w="2764" w:type="pct"/>
            <w:vAlign w:val="center"/>
          </w:tcPr>
          <w:p w14:paraId="15B5D6D1">
            <w:pPr>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5238C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561B148E">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10</w:t>
            </w:r>
          </w:p>
        </w:tc>
        <w:tc>
          <w:tcPr>
            <w:tcW w:w="1625" w:type="pct"/>
            <w:vAlign w:val="center"/>
          </w:tcPr>
          <w:p w14:paraId="43EA3636">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冲水装置</w:t>
            </w:r>
          </w:p>
        </w:tc>
        <w:tc>
          <w:tcPr>
            <w:tcW w:w="2764" w:type="pct"/>
            <w:vAlign w:val="center"/>
          </w:tcPr>
          <w:p w14:paraId="5F1D5473">
            <w:pPr>
              <w:jc w:val="center"/>
              <w:rPr>
                <w:rFonts w:asciiTheme="minorEastAsia" w:hAnsiTheme="minorEastAsia" w:eastAsiaTheme="minorEastAsia"/>
                <w:szCs w:val="21"/>
              </w:rPr>
            </w:pPr>
            <w:r>
              <w:rPr>
                <w:rFonts w:hint="eastAsia" w:asciiTheme="minorEastAsia" w:hAnsiTheme="minorEastAsia" w:eastAsiaTheme="minorEastAsia"/>
                <w:szCs w:val="21"/>
              </w:rPr>
              <w:t>GB/T 6952—2015</w:t>
            </w:r>
          </w:p>
        </w:tc>
      </w:tr>
      <w:tr w14:paraId="3E9ED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778D8AB7">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11</w:t>
            </w:r>
          </w:p>
        </w:tc>
        <w:tc>
          <w:tcPr>
            <w:tcW w:w="1625" w:type="pct"/>
            <w:vAlign w:val="center"/>
          </w:tcPr>
          <w:p w14:paraId="455C7CEE">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安全水位</w:t>
            </w:r>
          </w:p>
        </w:tc>
        <w:tc>
          <w:tcPr>
            <w:tcW w:w="2764" w:type="pct"/>
            <w:vAlign w:val="center"/>
          </w:tcPr>
          <w:p w14:paraId="1FC453CC">
            <w:pPr>
              <w:jc w:val="center"/>
              <w:rPr>
                <w:rFonts w:asciiTheme="minorEastAsia" w:hAnsiTheme="minorEastAsia" w:eastAsiaTheme="minorEastAsia"/>
                <w:szCs w:val="21"/>
              </w:rPr>
            </w:pPr>
            <w:r>
              <w:rPr>
                <w:rFonts w:hint="eastAsia" w:asciiTheme="minorEastAsia" w:hAnsiTheme="minorEastAsia" w:eastAsiaTheme="minorEastAsia"/>
                <w:szCs w:val="21"/>
              </w:rPr>
              <w:t>GB/T 6952—2015</w:t>
            </w:r>
          </w:p>
        </w:tc>
      </w:tr>
      <w:tr w14:paraId="697C6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52C46047">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12</w:t>
            </w:r>
          </w:p>
        </w:tc>
        <w:tc>
          <w:tcPr>
            <w:tcW w:w="1625" w:type="pct"/>
            <w:vAlign w:val="center"/>
          </w:tcPr>
          <w:p w14:paraId="02502F72">
            <w:pPr>
              <w:autoSpaceDE w:val="0"/>
              <w:autoSpaceDN w:val="0"/>
              <w:jc w:val="center"/>
              <w:rPr>
                <w:rFonts w:asciiTheme="minorEastAsia" w:hAnsiTheme="minorEastAsia" w:eastAsiaTheme="minorEastAsia"/>
                <w:szCs w:val="21"/>
              </w:rPr>
            </w:pPr>
            <w:r>
              <w:rPr>
                <w:rFonts w:hint="eastAsia" w:asciiTheme="minorEastAsia" w:hAnsiTheme="minorEastAsia" w:eastAsiaTheme="minorEastAsia"/>
                <w:szCs w:val="21"/>
              </w:rPr>
              <w:t>防虹吸性能</w:t>
            </w:r>
          </w:p>
        </w:tc>
        <w:tc>
          <w:tcPr>
            <w:tcW w:w="2764" w:type="pct"/>
            <w:vAlign w:val="center"/>
          </w:tcPr>
          <w:p w14:paraId="1DC9C373">
            <w:pPr>
              <w:jc w:val="center"/>
              <w:rPr>
                <w:rFonts w:asciiTheme="minorEastAsia" w:hAnsiTheme="minorEastAsia" w:eastAsiaTheme="minorEastAsia"/>
                <w:szCs w:val="21"/>
              </w:rPr>
            </w:pPr>
            <w:r>
              <w:rPr>
                <w:rFonts w:hint="eastAsia" w:asciiTheme="minorEastAsia" w:hAnsiTheme="minorEastAsia" w:eastAsiaTheme="minorEastAsia"/>
                <w:szCs w:val="21"/>
              </w:rPr>
              <w:t>GB/T 26730—2011</w:t>
            </w:r>
          </w:p>
        </w:tc>
      </w:tr>
      <w:tr w14:paraId="6BC2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3E0B0B39">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w:t>
            </w:r>
            <w:r>
              <w:rPr>
                <w:rFonts w:hint="eastAsia" w:asciiTheme="minorEastAsia" w:hAnsiTheme="minorEastAsia" w:eastAsiaTheme="minorEastAsia"/>
                <w:color w:val="000000"/>
                <w:szCs w:val="21"/>
              </w:rPr>
              <w:t>3</w:t>
            </w:r>
          </w:p>
        </w:tc>
        <w:tc>
          <w:tcPr>
            <w:tcW w:w="1625" w:type="pct"/>
            <w:vAlign w:val="center"/>
          </w:tcPr>
          <w:p w14:paraId="09652123">
            <w:pPr>
              <w:jc w:val="center"/>
              <w:rPr>
                <w:rFonts w:asciiTheme="minorEastAsia" w:hAnsiTheme="minorEastAsia" w:eastAsiaTheme="minorEastAsia"/>
                <w:szCs w:val="21"/>
              </w:rPr>
            </w:pPr>
            <w:r>
              <w:rPr>
                <w:rFonts w:asciiTheme="minorEastAsia" w:hAnsiTheme="minorEastAsia" w:eastAsiaTheme="minorEastAsia"/>
                <w:szCs w:val="21"/>
              </w:rPr>
              <w:t>坐便器水效等级</w:t>
            </w:r>
          </w:p>
        </w:tc>
        <w:tc>
          <w:tcPr>
            <w:tcW w:w="2764" w:type="pct"/>
            <w:vAlign w:val="center"/>
          </w:tcPr>
          <w:p w14:paraId="1EE99829">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0D16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7725F0C9">
            <w:pPr>
              <w:snapToGrid w:val="0"/>
              <w:jc w:val="center"/>
              <w:rPr>
                <w:rFonts w:asciiTheme="minorEastAsia" w:hAnsiTheme="minorEastAsia" w:eastAsiaTheme="minorEastAsia"/>
                <w:color w:val="000000"/>
                <w:szCs w:val="21"/>
              </w:rPr>
            </w:pPr>
            <w:r>
              <w:rPr>
                <w:rFonts w:asciiTheme="minorEastAsia" w:hAnsiTheme="minorEastAsia" w:eastAsiaTheme="minorEastAsia"/>
                <w:color w:val="000000"/>
                <w:szCs w:val="21"/>
              </w:rPr>
              <w:t>1</w:t>
            </w:r>
            <w:r>
              <w:rPr>
                <w:rFonts w:hint="eastAsia" w:asciiTheme="minorEastAsia" w:hAnsiTheme="minorEastAsia" w:eastAsiaTheme="minorEastAsia"/>
                <w:color w:val="000000"/>
                <w:szCs w:val="21"/>
              </w:rPr>
              <w:t>4</w:t>
            </w:r>
          </w:p>
        </w:tc>
        <w:tc>
          <w:tcPr>
            <w:tcW w:w="1625" w:type="pct"/>
            <w:vAlign w:val="center"/>
          </w:tcPr>
          <w:p w14:paraId="22A1E7C0">
            <w:pPr>
              <w:jc w:val="center"/>
              <w:rPr>
                <w:rFonts w:asciiTheme="minorEastAsia" w:hAnsiTheme="minorEastAsia" w:eastAsiaTheme="minorEastAsia"/>
                <w:szCs w:val="21"/>
              </w:rPr>
            </w:pPr>
            <w:r>
              <w:rPr>
                <w:rFonts w:asciiTheme="minorEastAsia" w:hAnsiTheme="minorEastAsia" w:eastAsiaTheme="minorEastAsia"/>
                <w:szCs w:val="21"/>
              </w:rPr>
              <w:t>坐便器水效限定值</w:t>
            </w:r>
          </w:p>
        </w:tc>
        <w:tc>
          <w:tcPr>
            <w:tcW w:w="2764" w:type="pct"/>
            <w:vAlign w:val="center"/>
          </w:tcPr>
          <w:p w14:paraId="3A42D9AD">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GB 25502—2024</w:t>
            </w:r>
          </w:p>
        </w:tc>
      </w:tr>
      <w:tr w14:paraId="4A8CD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11" w:type="pct"/>
            <w:vAlign w:val="center"/>
          </w:tcPr>
          <w:p w14:paraId="3A5D1970">
            <w:pPr>
              <w:snapToGrid w:val="0"/>
              <w:jc w:val="center"/>
              <w:rPr>
                <w:rFonts w:asciiTheme="minorEastAsia" w:hAnsiTheme="minorEastAsia" w:eastAsiaTheme="minorEastAsia"/>
                <w:color w:val="000000"/>
                <w:szCs w:val="21"/>
              </w:rPr>
            </w:pPr>
            <w:r>
              <w:rPr>
                <w:rFonts w:hint="eastAsia" w:asciiTheme="minorEastAsia" w:hAnsiTheme="minorEastAsia" w:eastAsiaTheme="minorEastAsia"/>
                <w:color w:val="000000"/>
                <w:szCs w:val="21"/>
              </w:rPr>
              <w:t>15</w:t>
            </w:r>
          </w:p>
        </w:tc>
        <w:tc>
          <w:tcPr>
            <w:tcW w:w="1625" w:type="pct"/>
            <w:vAlign w:val="center"/>
          </w:tcPr>
          <w:p w14:paraId="0BCA18A0">
            <w:pPr>
              <w:jc w:val="center"/>
              <w:rPr>
                <w:rFonts w:asciiTheme="minorEastAsia" w:hAnsiTheme="minorEastAsia" w:eastAsiaTheme="minorEastAsia"/>
                <w:szCs w:val="21"/>
              </w:rPr>
            </w:pPr>
            <w:r>
              <w:rPr>
                <w:rFonts w:asciiTheme="minorEastAsia" w:hAnsiTheme="minorEastAsia" w:eastAsiaTheme="minorEastAsia"/>
                <w:szCs w:val="21"/>
              </w:rPr>
              <w:t>进水阀</w:t>
            </w:r>
            <w:r>
              <w:rPr>
                <w:rFonts w:hint="eastAsia" w:asciiTheme="minorEastAsia" w:hAnsiTheme="minorEastAsia" w:eastAsiaTheme="minorEastAsia"/>
                <w:szCs w:val="21"/>
              </w:rPr>
              <w:t>CL标记</w:t>
            </w:r>
          </w:p>
        </w:tc>
        <w:tc>
          <w:tcPr>
            <w:tcW w:w="2764" w:type="pct"/>
            <w:vAlign w:val="center"/>
          </w:tcPr>
          <w:p w14:paraId="03A9C9E4">
            <w:pPr>
              <w:jc w:val="center"/>
              <w:rPr>
                <w:rFonts w:asciiTheme="minorEastAsia" w:hAnsiTheme="minorEastAsia" w:eastAsiaTheme="minorEastAsia"/>
                <w:szCs w:val="21"/>
              </w:rPr>
            </w:pPr>
            <w:r>
              <w:rPr>
                <w:rFonts w:hint="eastAsia" w:asciiTheme="minorEastAsia" w:hAnsiTheme="minorEastAsia" w:eastAsiaTheme="minorEastAsia"/>
                <w:szCs w:val="21"/>
              </w:rPr>
              <w:t>GB/T 26730—2011</w:t>
            </w:r>
          </w:p>
        </w:tc>
      </w:tr>
    </w:tbl>
    <w:p w14:paraId="52389459">
      <w:pPr>
        <w:snapToGrid w:val="0"/>
        <w:spacing w:line="440" w:lineRule="exact"/>
        <w:ind w:firstLine="420" w:firstLineChars="200"/>
        <w:rPr>
          <w:color w:val="000000"/>
          <w:szCs w:val="21"/>
        </w:rPr>
      </w:pPr>
    </w:p>
    <w:p w14:paraId="669353AB">
      <w:pPr>
        <w:snapToGrid w:val="0"/>
        <w:spacing w:line="440" w:lineRule="exact"/>
        <w:ind w:firstLine="420" w:firstLineChars="200"/>
        <w:rPr>
          <w:color w:val="000000"/>
          <w:szCs w:val="21"/>
        </w:rPr>
      </w:pPr>
      <w:r>
        <w:rPr>
          <w:rFonts w:hint="eastAsia"/>
          <w:color w:val="000000"/>
          <w:szCs w:val="21"/>
        </w:rPr>
        <w:t>执行企业标准、团体标准、地方标准的产品，检验项目参照上述内容执行。</w:t>
      </w:r>
    </w:p>
    <w:p w14:paraId="1A76D521">
      <w:pPr>
        <w:snapToGrid w:val="0"/>
        <w:spacing w:line="440" w:lineRule="exact"/>
        <w:ind w:firstLine="420" w:firstLineChars="20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14:paraId="6E192251">
      <w:pPr>
        <w:spacing w:line="360" w:lineRule="auto"/>
        <w:rPr>
          <w:rFonts w:ascii="黑体" w:hAnsi="黑体" w:eastAsia="黑体"/>
          <w:color w:val="000000"/>
          <w:szCs w:val="21"/>
        </w:rPr>
      </w:pPr>
      <w:r>
        <w:rPr>
          <w:rFonts w:ascii="黑体" w:hAnsi="黑体" w:eastAsia="黑体"/>
          <w:color w:val="000000"/>
          <w:szCs w:val="21"/>
        </w:rPr>
        <w:t xml:space="preserve">3 </w:t>
      </w:r>
      <w:r>
        <w:rPr>
          <w:rFonts w:hint="eastAsia" w:ascii="黑体" w:hAnsi="黑体" w:eastAsia="黑体"/>
          <w:color w:val="000000"/>
          <w:szCs w:val="21"/>
        </w:rPr>
        <w:t>判定规则</w:t>
      </w:r>
    </w:p>
    <w:p w14:paraId="752941FD">
      <w:pPr>
        <w:snapToGrid w:val="0"/>
        <w:spacing w:line="440" w:lineRule="exact"/>
        <w:rPr>
          <w:rFonts w:ascii="宋体"/>
          <w:color w:val="000000"/>
          <w:szCs w:val="21"/>
        </w:rPr>
      </w:pPr>
      <w:r>
        <w:rPr>
          <w:rFonts w:ascii="宋体" w:hAnsi="宋体"/>
          <w:color w:val="000000"/>
          <w:szCs w:val="21"/>
        </w:rPr>
        <w:t>3.1</w:t>
      </w:r>
      <w:r>
        <w:rPr>
          <w:rFonts w:hint="eastAsia" w:ascii="宋体" w:hAnsi="宋体"/>
          <w:color w:val="000000"/>
          <w:szCs w:val="21"/>
        </w:rPr>
        <w:t>依据标准</w:t>
      </w:r>
    </w:p>
    <w:p w14:paraId="151C9936">
      <w:pPr>
        <w:snapToGrid w:val="0"/>
        <w:spacing w:line="440" w:lineRule="exact"/>
        <w:ind w:firstLine="420" w:firstLineChars="200"/>
        <w:rPr>
          <w:rFonts w:ascii="宋体" w:hAnsi="宋体"/>
          <w:color w:val="000000"/>
          <w:szCs w:val="21"/>
        </w:rPr>
      </w:pPr>
      <w:r>
        <w:rPr>
          <w:rFonts w:ascii="宋体" w:hAnsi="宋体"/>
          <w:color w:val="000000"/>
          <w:szCs w:val="21"/>
        </w:rPr>
        <w:t>GB/T 6952-2015</w:t>
      </w:r>
      <w:r>
        <w:rPr>
          <w:rFonts w:hint="eastAsia" w:ascii="宋体" w:hAnsi="宋体"/>
          <w:color w:val="000000"/>
          <w:szCs w:val="21"/>
        </w:rPr>
        <w:t>卫生陶瓷</w:t>
      </w:r>
    </w:p>
    <w:p w14:paraId="56DC28D9">
      <w:pPr>
        <w:snapToGrid w:val="0"/>
        <w:spacing w:line="440" w:lineRule="exact"/>
        <w:ind w:firstLine="420" w:firstLineChars="200"/>
        <w:rPr>
          <w:rFonts w:ascii="宋体" w:hAnsi="宋体"/>
          <w:color w:val="000000"/>
          <w:szCs w:val="21"/>
        </w:rPr>
      </w:pPr>
      <w:r>
        <w:rPr>
          <w:rFonts w:ascii="宋体" w:hAnsi="宋体"/>
          <w:color w:val="000000"/>
          <w:szCs w:val="21"/>
        </w:rPr>
        <w:t>GB 25502-20</w:t>
      </w:r>
      <w:r>
        <w:rPr>
          <w:rFonts w:hint="eastAsia" w:ascii="宋体" w:hAnsi="宋体"/>
          <w:color w:val="000000"/>
          <w:szCs w:val="21"/>
        </w:rPr>
        <w:t>24</w:t>
      </w:r>
      <w:r>
        <w:rPr>
          <w:rFonts w:ascii="宋体" w:hAnsi="宋体"/>
          <w:color w:val="000000"/>
          <w:szCs w:val="21"/>
        </w:rPr>
        <w:t xml:space="preserve"> 坐便器水效限定值及水效等级</w:t>
      </w:r>
    </w:p>
    <w:p w14:paraId="178E2782">
      <w:pPr>
        <w:snapToGrid w:val="0"/>
        <w:spacing w:line="440" w:lineRule="exact"/>
        <w:ind w:firstLine="420" w:firstLineChars="200"/>
        <w:rPr>
          <w:rFonts w:ascii="宋体" w:hAnsi="宋体"/>
          <w:color w:val="000000"/>
          <w:szCs w:val="21"/>
        </w:rPr>
      </w:pPr>
      <w:r>
        <w:rPr>
          <w:rFonts w:ascii="宋体" w:hAnsi="宋体"/>
          <w:color w:val="000000"/>
          <w:szCs w:val="21"/>
        </w:rPr>
        <w:t>GB/T 26730</w:t>
      </w:r>
      <w:r>
        <w:rPr>
          <w:rFonts w:hint="eastAsia" w:ascii="宋体" w:hAnsi="宋体"/>
          <w:color w:val="000000"/>
          <w:szCs w:val="21"/>
        </w:rPr>
        <w:t>-</w:t>
      </w:r>
      <w:r>
        <w:rPr>
          <w:rFonts w:ascii="宋体" w:hAnsi="宋体"/>
          <w:color w:val="000000"/>
          <w:szCs w:val="21"/>
        </w:rPr>
        <w:t>2011卫生洁具便器用重力式冲水装置及洁具机架</w:t>
      </w:r>
    </w:p>
    <w:p w14:paraId="6429FA32">
      <w:pPr>
        <w:snapToGrid w:val="0"/>
        <w:spacing w:line="440" w:lineRule="exact"/>
        <w:ind w:firstLine="420" w:firstLineChars="200"/>
        <w:rPr>
          <w:rFonts w:ascii="宋体"/>
          <w:color w:val="000000"/>
          <w:szCs w:val="21"/>
        </w:rPr>
      </w:pPr>
      <w:r>
        <w:rPr>
          <w:rFonts w:hint="eastAsia" w:ascii="宋体" w:hAnsi="宋体"/>
          <w:color w:val="000000"/>
          <w:szCs w:val="21"/>
        </w:rPr>
        <w:t>现行有效的企业标准、团体标准、地方标准及产品明示质量要求</w:t>
      </w:r>
    </w:p>
    <w:p w14:paraId="714AF3EF">
      <w:pPr>
        <w:snapToGrid w:val="0"/>
        <w:spacing w:line="440" w:lineRule="exact"/>
        <w:rPr>
          <w:rFonts w:ascii="宋体"/>
          <w:color w:val="000000"/>
          <w:szCs w:val="21"/>
        </w:rPr>
      </w:pPr>
      <w:r>
        <w:rPr>
          <w:rFonts w:ascii="宋体" w:hAnsi="宋体"/>
          <w:color w:val="000000"/>
          <w:szCs w:val="21"/>
        </w:rPr>
        <w:t>3.2</w:t>
      </w:r>
      <w:r>
        <w:rPr>
          <w:rFonts w:hint="eastAsia" w:ascii="宋体" w:hAnsi="宋体"/>
          <w:color w:val="000000"/>
          <w:szCs w:val="21"/>
        </w:rPr>
        <w:t>判定原则</w:t>
      </w:r>
    </w:p>
    <w:p w14:paraId="23ED18EF">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14:paraId="7A1940B2">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62EA3A94">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4FBBFAB9">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69558263">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3D4CBDE7">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1B5ADE40">
      <w:pPr>
        <w:snapToGrid w:val="0"/>
        <w:spacing w:line="440" w:lineRule="exact"/>
        <w:rPr>
          <w:rFonts w:ascii="宋体"/>
          <w:color w:val="FF0000"/>
          <w:szCs w:val="21"/>
        </w:rPr>
      </w:pPr>
    </w:p>
    <w:sectPr>
      <w:headerReference r:id="rId3" w:type="default"/>
      <w:footerReference r:id="rId4" w:type="default"/>
      <w:footerReference r:id="rId5" w:type="even"/>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ourier New">
    <w:altName w:val="DejaVu Sans"/>
    <w:panose1 w:val="02070309020205020404"/>
    <w:charset w:val="00"/>
    <w:family w:val="modern"/>
    <w:pitch w:val="default"/>
    <w:sig w:usb0="00000000" w:usb1="00000000" w:usb2="00000009" w:usb3="00000000" w:csb0="000001FF"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8D449">
    <w:pPr>
      <w:pStyle w:val="4"/>
      <w:jc w:val="center"/>
      <w:rPr>
        <w:rFonts w:asciiTheme="minorEastAsia" w:hAnsiTheme="minorEastAsia" w:eastAsiaTheme="minorEastAsia"/>
      </w:rPr>
    </w:pPr>
    <w:r>
      <w:rPr>
        <w:rFonts w:hint="eastAsia" w:asciiTheme="minorEastAsia" w:hAnsiTheme="minorEastAsia" w:eastAsiaTheme="minorEastAsia"/>
        <w:lang w:val="zh-CN"/>
      </w:rPr>
      <w:t xml:space="preserve">第 </w:t>
    </w:r>
    <w:r>
      <w:rPr>
        <w:rFonts w:asciiTheme="minorEastAsia" w:hAnsiTheme="minorEastAsia" w:eastAsiaTheme="minorEastAsia"/>
        <w:lang w:val="zh-CN"/>
      </w:rPr>
      <w:fldChar w:fldCharType="begin"/>
    </w:r>
    <w:r>
      <w:rPr>
        <w:rFonts w:asciiTheme="minorEastAsia" w:hAnsiTheme="minorEastAsia" w:eastAsiaTheme="minorEastAsia"/>
        <w:lang w:val="zh-CN"/>
      </w:rPr>
      <w:instrText xml:space="preserve"> PAGE   \* MERGEFORMAT </w:instrText>
    </w:r>
    <w:r>
      <w:rPr>
        <w:rFonts w:asciiTheme="minorEastAsia" w:hAnsiTheme="minorEastAsia" w:eastAsiaTheme="minorEastAsia"/>
        <w:lang w:val="zh-CN"/>
      </w:rPr>
      <w:fldChar w:fldCharType="separate"/>
    </w:r>
    <w:r>
      <w:rPr>
        <w:rFonts w:asciiTheme="minorEastAsia" w:hAnsiTheme="minorEastAsia" w:eastAsiaTheme="minorEastAsia"/>
      </w:rPr>
      <w:t>1</w:t>
    </w:r>
    <w:r>
      <w:rPr>
        <w:rFonts w:asciiTheme="minorEastAsia" w:hAnsiTheme="minorEastAsia" w:eastAsiaTheme="minorEastAsia"/>
        <w:lang w:val="zh-CN"/>
      </w:rPr>
      <w:fldChar w:fldCharType="end"/>
    </w:r>
    <w:r>
      <w:rPr>
        <w:rFonts w:asciiTheme="minorEastAsia" w:hAnsiTheme="minorEastAsia" w:eastAsiaTheme="minorEastAsia"/>
        <w:lang w:val="zh-CN"/>
      </w:rPr>
      <w:t xml:space="preserve"> </w:t>
    </w:r>
    <w:r>
      <w:rPr>
        <w:rFonts w:hint="eastAsia" w:asciiTheme="minorEastAsia" w:hAnsiTheme="minorEastAsia" w:eastAsiaTheme="minorEastAsia"/>
        <w:lang w:val="zh-CN"/>
      </w:rPr>
      <w:t>页共 2</w:t>
    </w:r>
    <w:r>
      <w:rPr>
        <w:rFonts w:asciiTheme="minorEastAsia" w:hAnsiTheme="minorEastAsia" w:eastAsiaTheme="minorEastAsia"/>
        <w:lang w:val="zh-CN"/>
      </w:rPr>
      <w:t xml:space="preserve"> </w:t>
    </w:r>
    <w:r>
      <w:rPr>
        <w:rFonts w:hint="eastAsia" w:asciiTheme="minorEastAsia" w:hAnsiTheme="minorEastAsia" w:eastAsiaTheme="minorEastAsia"/>
        <w:lang w:val="zh-CN"/>
      </w:rPr>
      <w:t>页</w:t>
    </w:r>
  </w:p>
  <w:p w14:paraId="6B9973CC">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3179FC">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2</w:t>
    </w:r>
    <w:r>
      <w:rPr>
        <w:rStyle w:val="9"/>
      </w:rPr>
      <w:fldChar w:fldCharType="end"/>
    </w:r>
  </w:p>
  <w:p w14:paraId="5B6FE4EE">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49B52">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172A27"/>
    <w:rsid w:val="00000DE1"/>
    <w:rsid w:val="00027E1F"/>
    <w:rsid w:val="000342A2"/>
    <w:rsid w:val="00051A44"/>
    <w:rsid w:val="0006220E"/>
    <w:rsid w:val="00064939"/>
    <w:rsid w:val="0006655F"/>
    <w:rsid w:val="00071716"/>
    <w:rsid w:val="00081CBD"/>
    <w:rsid w:val="00087CE6"/>
    <w:rsid w:val="000976DE"/>
    <w:rsid w:val="000C1DFB"/>
    <w:rsid w:val="000D66B9"/>
    <w:rsid w:val="000F4B76"/>
    <w:rsid w:val="001115F1"/>
    <w:rsid w:val="001472EE"/>
    <w:rsid w:val="00172A27"/>
    <w:rsid w:val="00177DF5"/>
    <w:rsid w:val="001809DD"/>
    <w:rsid w:val="0018272B"/>
    <w:rsid w:val="0018614D"/>
    <w:rsid w:val="001B30E1"/>
    <w:rsid w:val="001C2DA4"/>
    <w:rsid w:val="001C6EA9"/>
    <w:rsid w:val="001F173C"/>
    <w:rsid w:val="001F4C4B"/>
    <w:rsid w:val="00207F6A"/>
    <w:rsid w:val="00221F87"/>
    <w:rsid w:val="00231136"/>
    <w:rsid w:val="00240532"/>
    <w:rsid w:val="00253624"/>
    <w:rsid w:val="00253FBC"/>
    <w:rsid w:val="00287625"/>
    <w:rsid w:val="002D7F8A"/>
    <w:rsid w:val="002E0D1D"/>
    <w:rsid w:val="002F27FD"/>
    <w:rsid w:val="00314287"/>
    <w:rsid w:val="003203A3"/>
    <w:rsid w:val="00327D4C"/>
    <w:rsid w:val="00353CE4"/>
    <w:rsid w:val="00364FFA"/>
    <w:rsid w:val="0036703B"/>
    <w:rsid w:val="003718B1"/>
    <w:rsid w:val="0039413E"/>
    <w:rsid w:val="003976F1"/>
    <w:rsid w:val="003A0DB4"/>
    <w:rsid w:val="003A5D67"/>
    <w:rsid w:val="003C388C"/>
    <w:rsid w:val="003D73A0"/>
    <w:rsid w:val="003E61BF"/>
    <w:rsid w:val="00414600"/>
    <w:rsid w:val="00445E86"/>
    <w:rsid w:val="00465337"/>
    <w:rsid w:val="00472BA5"/>
    <w:rsid w:val="00474E04"/>
    <w:rsid w:val="004911F3"/>
    <w:rsid w:val="004B32B6"/>
    <w:rsid w:val="004D0C5A"/>
    <w:rsid w:val="004D59DF"/>
    <w:rsid w:val="004E1396"/>
    <w:rsid w:val="004F2546"/>
    <w:rsid w:val="004F7407"/>
    <w:rsid w:val="005228D5"/>
    <w:rsid w:val="00525603"/>
    <w:rsid w:val="005335C9"/>
    <w:rsid w:val="0054717C"/>
    <w:rsid w:val="005614DE"/>
    <w:rsid w:val="00563EBC"/>
    <w:rsid w:val="00593FB9"/>
    <w:rsid w:val="005940FF"/>
    <w:rsid w:val="005A0EE5"/>
    <w:rsid w:val="005B3EB9"/>
    <w:rsid w:val="005C2981"/>
    <w:rsid w:val="005E4730"/>
    <w:rsid w:val="005E658E"/>
    <w:rsid w:val="005E7E5A"/>
    <w:rsid w:val="005F4C67"/>
    <w:rsid w:val="00610233"/>
    <w:rsid w:val="00614159"/>
    <w:rsid w:val="00655C1E"/>
    <w:rsid w:val="006616C6"/>
    <w:rsid w:val="00665ACE"/>
    <w:rsid w:val="006820C3"/>
    <w:rsid w:val="006B2BB1"/>
    <w:rsid w:val="006C56AD"/>
    <w:rsid w:val="006E2AE8"/>
    <w:rsid w:val="006F0971"/>
    <w:rsid w:val="00711C81"/>
    <w:rsid w:val="0072334C"/>
    <w:rsid w:val="0074172F"/>
    <w:rsid w:val="007532D9"/>
    <w:rsid w:val="007639A1"/>
    <w:rsid w:val="0077087F"/>
    <w:rsid w:val="007A303C"/>
    <w:rsid w:val="007A70FE"/>
    <w:rsid w:val="007C464A"/>
    <w:rsid w:val="007C7398"/>
    <w:rsid w:val="007F3F36"/>
    <w:rsid w:val="008131C5"/>
    <w:rsid w:val="0084352F"/>
    <w:rsid w:val="0084769B"/>
    <w:rsid w:val="0086224D"/>
    <w:rsid w:val="008650C7"/>
    <w:rsid w:val="00865BE9"/>
    <w:rsid w:val="00895BEA"/>
    <w:rsid w:val="008A3497"/>
    <w:rsid w:val="008A49F5"/>
    <w:rsid w:val="008A761B"/>
    <w:rsid w:val="008B5C8F"/>
    <w:rsid w:val="008E3DDA"/>
    <w:rsid w:val="008E49C7"/>
    <w:rsid w:val="008E51A6"/>
    <w:rsid w:val="008F5BA1"/>
    <w:rsid w:val="008F7B64"/>
    <w:rsid w:val="009008E4"/>
    <w:rsid w:val="0090357A"/>
    <w:rsid w:val="00917A54"/>
    <w:rsid w:val="009B435C"/>
    <w:rsid w:val="009C12ED"/>
    <w:rsid w:val="009C5546"/>
    <w:rsid w:val="009D4A15"/>
    <w:rsid w:val="009E4731"/>
    <w:rsid w:val="00A13AA1"/>
    <w:rsid w:val="00A27B9C"/>
    <w:rsid w:val="00A32595"/>
    <w:rsid w:val="00A40E80"/>
    <w:rsid w:val="00A43553"/>
    <w:rsid w:val="00A469B8"/>
    <w:rsid w:val="00A51C53"/>
    <w:rsid w:val="00A81DF5"/>
    <w:rsid w:val="00A842F8"/>
    <w:rsid w:val="00AB1836"/>
    <w:rsid w:val="00AB46E6"/>
    <w:rsid w:val="00AB60C6"/>
    <w:rsid w:val="00AD549C"/>
    <w:rsid w:val="00AE2CDB"/>
    <w:rsid w:val="00AE2D82"/>
    <w:rsid w:val="00B0571B"/>
    <w:rsid w:val="00B05BE0"/>
    <w:rsid w:val="00B117D7"/>
    <w:rsid w:val="00B250C1"/>
    <w:rsid w:val="00B47D5D"/>
    <w:rsid w:val="00B92F99"/>
    <w:rsid w:val="00BA5EE8"/>
    <w:rsid w:val="00BB23A0"/>
    <w:rsid w:val="00BB460B"/>
    <w:rsid w:val="00BF5369"/>
    <w:rsid w:val="00BF55E5"/>
    <w:rsid w:val="00C0511C"/>
    <w:rsid w:val="00C2447C"/>
    <w:rsid w:val="00C26074"/>
    <w:rsid w:val="00C2687D"/>
    <w:rsid w:val="00C363B1"/>
    <w:rsid w:val="00C37390"/>
    <w:rsid w:val="00C43C00"/>
    <w:rsid w:val="00C83B0A"/>
    <w:rsid w:val="00C8613F"/>
    <w:rsid w:val="00CA236A"/>
    <w:rsid w:val="00CC4765"/>
    <w:rsid w:val="00CD6E64"/>
    <w:rsid w:val="00CE1E0C"/>
    <w:rsid w:val="00CE277E"/>
    <w:rsid w:val="00D25FF7"/>
    <w:rsid w:val="00D42D8C"/>
    <w:rsid w:val="00D56867"/>
    <w:rsid w:val="00D72C30"/>
    <w:rsid w:val="00D977FA"/>
    <w:rsid w:val="00DA12B1"/>
    <w:rsid w:val="00DA25DA"/>
    <w:rsid w:val="00DB15B7"/>
    <w:rsid w:val="00DB2C85"/>
    <w:rsid w:val="00DC10D1"/>
    <w:rsid w:val="00DE59F6"/>
    <w:rsid w:val="00DF60D7"/>
    <w:rsid w:val="00DF61D3"/>
    <w:rsid w:val="00E02A7F"/>
    <w:rsid w:val="00E07880"/>
    <w:rsid w:val="00E42676"/>
    <w:rsid w:val="00E5097F"/>
    <w:rsid w:val="00E5322E"/>
    <w:rsid w:val="00E76773"/>
    <w:rsid w:val="00E82621"/>
    <w:rsid w:val="00EA13F5"/>
    <w:rsid w:val="00EA48FD"/>
    <w:rsid w:val="00EF425B"/>
    <w:rsid w:val="00F00FAE"/>
    <w:rsid w:val="00F367BF"/>
    <w:rsid w:val="00F37784"/>
    <w:rsid w:val="00F506F9"/>
    <w:rsid w:val="00F77C9A"/>
    <w:rsid w:val="00F832A8"/>
    <w:rsid w:val="00F862BA"/>
    <w:rsid w:val="00F96A5D"/>
    <w:rsid w:val="00FA282C"/>
    <w:rsid w:val="00FB576C"/>
    <w:rsid w:val="00FB7617"/>
    <w:rsid w:val="00FC179E"/>
    <w:rsid w:val="00FD2AA6"/>
    <w:rsid w:val="00FE7E8A"/>
    <w:rsid w:val="00FF1482"/>
    <w:rsid w:val="41312539"/>
    <w:rsid w:val="63FB59D3"/>
    <w:rsid w:val="7BF66D73"/>
    <w:rsid w:val="F37D4BE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7"/>
    <w:qFormat/>
    <w:uiPriority w:val="99"/>
    <w:rPr>
      <w:rFonts w:ascii="宋体" w:hAnsi="Courier New"/>
      <w:szCs w:val="20"/>
    </w:rPr>
  </w:style>
  <w:style w:type="paragraph" w:styleId="3">
    <w:name w:val="Balloon Text"/>
    <w:basedOn w:val="1"/>
    <w:link w:val="10"/>
    <w:semiHidden/>
    <w:qFormat/>
    <w:uiPriority w:val="99"/>
    <w:rPr>
      <w:sz w:val="18"/>
      <w:szCs w:val="18"/>
    </w:rPr>
  </w:style>
  <w:style w:type="paragraph" w:styleId="4">
    <w:name w:val="footer"/>
    <w:basedOn w:val="1"/>
    <w:link w:val="14"/>
    <w:qFormat/>
    <w:uiPriority w:val="99"/>
    <w:pPr>
      <w:tabs>
        <w:tab w:val="center" w:pos="4153"/>
        <w:tab w:val="right" w:pos="8306"/>
      </w:tabs>
      <w:snapToGrid w:val="0"/>
      <w:jc w:val="left"/>
    </w:pPr>
    <w:rPr>
      <w:sz w:val="18"/>
      <w:szCs w:val="18"/>
    </w:rPr>
  </w:style>
  <w:style w:type="paragraph" w:styleId="5">
    <w:name w:val="header"/>
    <w:basedOn w:val="1"/>
    <w:link w:val="15"/>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character" w:styleId="9">
    <w:name w:val="page number"/>
    <w:qFormat/>
    <w:uiPriority w:val="99"/>
    <w:rPr>
      <w:rFonts w:cs="Times New Roman"/>
    </w:rPr>
  </w:style>
  <w:style w:type="character" w:customStyle="1" w:styleId="10">
    <w:name w:val="批注框文本 字符"/>
    <w:link w:val="3"/>
    <w:semiHidden/>
    <w:qFormat/>
    <w:locked/>
    <w:uiPriority w:val="99"/>
    <w:rPr>
      <w:rFonts w:cs="Times New Roman"/>
      <w:sz w:val="2"/>
    </w:rPr>
  </w:style>
  <w:style w:type="character" w:customStyle="1" w:styleId="11">
    <w:name w:val="Footer Char"/>
    <w:qFormat/>
    <w:locked/>
    <w:uiPriority w:val="99"/>
    <w:rPr>
      <w:rFonts w:cs="Times New Roman"/>
      <w:kern w:val="2"/>
      <w:sz w:val="18"/>
    </w:rPr>
  </w:style>
  <w:style w:type="character" w:customStyle="1" w:styleId="12">
    <w:name w:val="Header Char"/>
    <w:semiHidden/>
    <w:qFormat/>
    <w:locked/>
    <w:uiPriority w:val="99"/>
    <w:rPr>
      <w:rFonts w:cs="Times New Roman"/>
      <w:kern w:val="2"/>
      <w:sz w:val="18"/>
    </w:rPr>
  </w:style>
  <w:style w:type="paragraph" w:customStyle="1" w:styleId="13">
    <w:name w:val="列出段落1"/>
    <w:basedOn w:val="1"/>
    <w:qFormat/>
    <w:uiPriority w:val="99"/>
    <w:pPr>
      <w:ind w:firstLine="420" w:firstLineChars="200"/>
    </w:pPr>
    <w:rPr>
      <w:rFonts w:ascii="Calibri" w:hAnsi="Calibri"/>
      <w:szCs w:val="22"/>
    </w:rPr>
  </w:style>
  <w:style w:type="character" w:customStyle="1" w:styleId="14">
    <w:name w:val="页脚 字符"/>
    <w:link w:val="4"/>
    <w:semiHidden/>
    <w:qFormat/>
    <w:locked/>
    <w:uiPriority w:val="99"/>
    <w:rPr>
      <w:rFonts w:cs="Times New Roman"/>
      <w:sz w:val="18"/>
      <w:szCs w:val="18"/>
    </w:rPr>
  </w:style>
  <w:style w:type="character" w:customStyle="1" w:styleId="15">
    <w:name w:val="页眉 字符"/>
    <w:link w:val="5"/>
    <w:semiHidden/>
    <w:qFormat/>
    <w:locked/>
    <w:uiPriority w:val="99"/>
    <w:rPr>
      <w:rFonts w:cs="Times New Roman"/>
      <w:sz w:val="18"/>
      <w:szCs w:val="18"/>
    </w:rPr>
  </w:style>
  <w:style w:type="character" w:customStyle="1" w:styleId="16">
    <w:name w:val="Plain Text Char"/>
    <w:semiHidden/>
    <w:qFormat/>
    <w:locked/>
    <w:uiPriority w:val="99"/>
    <w:rPr>
      <w:rFonts w:ascii="宋体" w:hAnsi="Courier New" w:cs="Courier New"/>
      <w:sz w:val="21"/>
      <w:szCs w:val="21"/>
    </w:rPr>
  </w:style>
  <w:style w:type="character" w:customStyle="1" w:styleId="17">
    <w:name w:val="纯文本 字符"/>
    <w:link w:val="2"/>
    <w:qFormat/>
    <w:locked/>
    <w:uiPriority w:val="99"/>
    <w:rPr>
      <w:rFonts w:ascii="宋体" w:hAnsi="Courier New" w:eastAsia="宋体" w:cs="Times New Roman"/>
      <w:kern w:val="2"/>
      <w:sz w:val="21"/>
      <w:lang w:val="en-US" w:eastAsia="zh-CN" w:bidi="ar-SA"/>
    </w:rPr>
  </w:style>
  <w:style w:type="character" w:customStyle="1" w:styleId="18">
    <w:name w:val="Char Char2"/>
    <w:semiHidden/>
    <w:qFormat/>
    <w:uiPriority w:val="99"/>
    <w:rPr>
      <w:rFonts w:cs="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155</Words>
  <Characters>886</Characters>
  <Lines>7</Lines>
  <Paragraphs>2</Paragraphs>
  <TotalTime>0</TotalTime>
  <ScaleCrop>false</ScaleCrop>
  <LinksUpToDate>false</LinksUpToDate>
  <CharactersWithSpaces>1039</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2020-04-24T18:04:00Z</dcterms:created>
  <dc:creator>Legend User</dc:creator>
  <cp:lastModifiedBy>UOS</cp:lastModifiedBy>
  <cp:lastPrinted>2026-06-22T17:30:00Z</cp:lastPrinted>
  <dcterms:modified xsi:type="dcterms:W3CDTF">2026-07-08T16:20:22Z</dcterms:modified>
  <dc:title>××产品质量监督抽查实施细则</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DA1BF1F469FD03813D084E6ABF7A58D2_42</vt:lpwstr>
  </property>
</Properties>
</file>